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318" w:rsidRDefault="00E10318" w:rsidP="00E10318">
      <w:pPr>
        <w:widowControl/>
        <w:pBdr>
          <w:bottom w:val="single" w:sz="6" w:space="1" w:color="auto"/>
        </w:pBdr>
        <w:spacing w:before="100" w:beforeAutospacing="1" w:after="100" w:afterAutospacing="1"/>
        <w:jc w:val="center"/>
        <w:outlineLvl w:val="0"/>
        <w:rPr>
          <w:rFonts w:ascii="Arial" w:eastAsia="宋体" w:hAnsi="Arial" w:cs="Arial" w:hint="eastAsia"/>
          <w:b/>
          <w:bCs/>
          <w:kern w:val="36"/>
          <w:sz w:val="32"/>
          <w:szCs w:val="32"/>
        </w:rPr>
      </w:pPr>
      <w:r w:rsidRPr="00E10318">
        <w:rPr>
          <w:rFonts w:ascii="Arial" w:eastAsia="宋体" w:hAnsi="Arial" w:cs="Arial"/>
          <w:b/>
          <w:bCs/>
          <w:kern w:val="36"/>
          <w:sz w:val="32"/>
          <w:szCs w:val="32"/>
        </w:rPr>
        <w:t>上海期货交易所风险控制管理办法</w:t>
      </w:r>
    </w:p>
    <w:p w:rsidR="00E10318" w:rsidRPr="00E10318" w:rsidRDefault="00E10318" w:rsidP="0036532F">
      <w:pPr>
        <w:widowControl/>
        <w:spacing w:before="100" w:beforeAutospacing="1" w:after="100" w:afterAutospacing="1"/>
        <w:ind w:firstLineChars="2050" w:firstLine="4920"/>
        <w:jc w:val="left"/>
        <w:rPr>
          <w:rFonts w:ascii="Arial" w:eastAsia="宋体" w:hAnsi="Arial" w:cs="Arial"/>
          <w:kern w:val="0"/>
          <w:sz w:val="24"/>
          <w:szCs w:val="24"/>
        </w:rPr>
      </w:pPr>
      <w:r w:rsidRPr="00E10318">
        <w:rPr>
          <w:rFonts w:ascii="Arial" w:eastAsia="宋体" w:hAnsi="Arial" w:cs="Arial"/>
          <w:kern w:val="0"/>
          <w:sz w:val="24"/>
          <w:szCs w:val="24"/>
        </w:rPr>
        <w:t>发布日期：</w:t>
      </w:r>
      <w:r w:rsidRPr="00E10318">
        <w:rPr>
          <w:rFonts w:ascii="Arial" w:eastAsia="宋体" w:hAnsi="Arial" w:cs="Arial"/>
          <w:kern w:val="0"/>
          <w:sz w:val="24"/>
          <w:szCs w:val="24"/>
        </w:rPr>
        <w:t>2016-07-15</w:t>
      </w:r>
    </w:p>
    <w:p w:rsidR="00E10318" w:rsidRPr="00E10318" w:rsidRDefault="00E10318" w:rsidP="00E10318">
      <w:pPr>
        <w:widowControl/>
        <w:spacing w:before="100" w:beforeAutospacing="1" w:after="100" w:afterAutospacing="1"/>
        <w:jc w:val="center"/>
        <w:rPr>
          <w:rFonts w:ascii="Arial" w:eastAsia="宋体" w:hAnsi="Arial" w:cs="Arial"/>
          <w:kern w:val="0"/>
          <w:sz w:val="24"/>
          <w:szCs w:val="24"/>
        </w:rPr>
      </w:pPr>
      <w:r w:rsidRPr="00E10318">
        <w:rPr>
          <w:rFonts w:ascii="Arial" w:eastAsia="宋体" w:hAnsi="Arial" w:cs="Arial"/>
          <w:kern w:val="0"/>
          <w:sz w:val="24"/>
          <w:szCs w:val="24"/>
        </w:rPr>
        <w:t> </w:t>
      </w:r>
      <w:r w:rsidRPr="00E10318">
        <w:rPr>
          <w:rFonts w:ascii="仿宋" w:eastAsia="仿宋" w:hAnsi="仿宋" w:cs="Arial" w:hint="eastAsia"/>
          <w:b/>
          <w:bCs/>
          <w:kern w:val="0"/>
          <w:sz w:val="32"/>
          <w:szCs w:val="32"/>
        </w:rPr>
        <w:t>第一章 总 则</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第一条 为加强期货交易风险管理，维护交易当事人的合法权益，保证上海期货交易所（以下简称交易所）期货交易的正常进行，根据《上海期货交易所交易规则》制定本办法。</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第二条 交易所风险管理实行保证金制度、涨跌停板制度、限仓制度、交易限额制度、大户报告制度、强行平仓制度、风险警示制度。</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第三条 交易所、会员和客户应当遵守本办法。</w:t>
      </w:r>
    </w:p>
    <w:p w:rsidR="00E10318" w:rsidRPr="00E10318" w:rsidRDefault="00E10318" w:rsidP="00E10318">
      <w:pPr>
        <w:widowControl/>
        <w:spacing w:before="100" w:beforeAutospacing="1" w:after="100" w:afterAutospacing="1"/>
        <w:jc w:val="left"/>
        <w:rPr>
          <w:rFonts w:ascii="宋体" w:eastAsia="宋体" w:hAnsi="宋体" w:cs="宋体"/>
          <w:kern w:val="0"/>
          <w:sz w:val="24"/>
          <w:szCs w:val="24"/>
        </w:rPr>
      </w:pPr>
      <w:r w:rsidRPr="00E10318">
        <w:rPr>
          <w:rFonts w:ascii="宋体" w:eastAsia="宋体" w:hAnsi="宋体" w:cs="宋体" w:hint="eastAsia"/>
          <w:kern w:val="0"/>
          <w:sz w:val="24"/>
          <w:szCs w:val="24"/>
        </w:rPr>
        <w:t> </w:t>
      </w:r>
    </w:p>
    <w:p w:rsidR="00E10318" w:rsidRPr="00E10318" w:rsidRDefault="00E10318" w:rsidP="00E10318">
      <w:pPr>
        <w:widowControl/>
        <w:spacing w:before="100" w:beforeAutospacing="1" w:after="100" w:afterAutospacing="1" w:line="560" w:lineRule="exact"/>
        <w:jc w:val="center"/>
        <w:rPr>
          <w:rFonts w:ascii="宋体" w:eastAsia="宋体" w:hAnsi="宋体" w:cs="宋体"/>
          <w:kern w:val="0"/>
          <w:sz w:val="24"/>
          <w:szCs w:val="24"/>
        </w:rPr>
      </w:pPr>
      <w:r w:rsidRPr="00E10318">
        <w:rPr>
          <w:rFonts w:ascii="仿宋" w:eastAsia="仿宋" w:hAnsi="仿宋" w:cs="宋体" w:hint="eastAsia"/>
          <w:b/>
          <w:bCs/>
          <w:kern w:val="0"/>
          <w:sz w:val="32"/>
          <w:szCs w:val="32"/>
        </w:rPr>
        <w:t>第二章 保证金制度</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_GB2312" w:eastAsia="仿宋_GB2312" w:hAnsi="宋体" w:cs="宋体" w:hint="eastAsia"/>
          <w:kern w:val="0"/>
          <w:sz w:val="32"/>
          <w:szCs w:val="32"/>
        </w:rPr>
        <w:t>第四条</w:t>
      </w:r>
      <w:r w:rsidRPr="00E10318">
        <w:rPr>
          <w:rFonts w:ascii="宋体" w:eastAsia="宋体" w:hAnsi="宋体" w:cs="宋体"/>
          <w:kern w:val="0"/>
          <w:sz w:val="32"/>
          <w:szCs w:val="32"/>
        </w:rPr>
        <w:t xml:space="preserve"> </w:t>
      </w:r>
      <w:r w:rsidRPr="00E10318">
        <w:rPr>
          <w:rFonts w:ascii="仿宋_GB2312" w:eastAsia="仿宋_GB2312" w:hAnsi="宋体" w:cs="宋体" w:hint="eastAsia"/>
          <w:kern w:val="0"/>
          <w:sz w:val="32"/>
          <w:szCs w:val="32"/>
        </w:rPr>
        <w:t>交易所实行交易保证金制度。黄金、白银、石油沥青、热轧卷板期货合约的最低交易保证金为合约价值的4%，阴极铜（以下简称铜）、铝、锌、铅、镍、锡、螺纹钢、天然橡胶期货合约的最低交易保证金为合约价值的5%，线材期货合约的最低交易保证金为合约价值的7%，燃料油期货合约的最低交易保证金为合约价值的8%。</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在某一期货合约的交易过程中，当出现下列情况时，交易所可以根据市场风险调整其交易保证金水平:</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lastRenderedPageBreak/>
        <w:t>（一）持仓量达到一定的水平时;</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（二）临近交割期时;</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（三）连续数个交易日的累计涨跌幅达到一定水平时;</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（四）连续出现涨跌停板时;</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（五）遇国家法定长假时;</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（六）交易所认为市场风险明显增大时;</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（七）交易所认为必要的其他情况。</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交易所根据市场情况决定调整交易保证金的，应当公告，并报告中国证监会。</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第五条 交易所根据某一期货合约持仓的不同数量和上市运行的不同阶段（即：从该合约新上市挂牌之日起至最后交易日止）制定不同的交易保证金收取标准，本条另有特别规定的除外。</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热轧卷板不再根据合约持仓的不同数量制定不同的交易保证金收取标准。</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具体规定如下：</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（一）交易所根据合约持仓大小调整交易保证金比例的方法。</w:t>
      </w:r>
    </w:p>
    <w:p w:rsidR="00E10318" w:rsidRPr="00E10318" w:rsidRDefault="00E10318" w:rsidP="0036532F">
      <w:pPr>
        <w:widowControl/>
        <w:spacing w:before="100" w:beforeAutospacing="1" w:afterLines="50"/>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w:t>
      </w:r>
      <w:proofErr w:type="gramStart"/>
      <w:r w:rsidRPr="00E10318">
        <w:rPr>
          <w:rFonts w:ascii="仿宋" w:eastAsia="仿宋" w:hAnsi="仿宋" w:cs="宋体" w:hint="eastAsia"/>
          <w:b/>
          <w:bCs/>
          <w:spacing w:val="8"/>
          <w:kern w:val="0"/>
          <w:sz w:val="24"/>
          <w:szCs w:val="24"/>
        </w:rPr>
        <w:t>一</w:t>
      </w:r>
      <w:proofErr w:type="gramEnd"/>
      <w:r w:rsidRPr="00E10318">
        <w:rPr>
          <w:rFonts w:ascii="仿宋" w:eastAsia="仿宋" w:hAnsi="仿宋" w:cs="宋体" w:hint="eastAsia"/>
          <w:b/>
          <w:bCs/>
          <w:spacing w:val="8"/>
          <w:kern w:val="0"/>
          <w:sz w:val="24"/>
          <w:szCs w:val="24"/>
        </w:rPr>
        <w:t xml:space="preserve"> 铜期货合约持仓量变化时的交易保证金收取标准</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8"/>
        <w:gridCol w:w="2667"/>
      </w:tblGrid>
      <w:tr w:rsidR="00E10318" w:rsidRPr="00E10318" w:rsidTr="00E10318">
        <w:trPr>
          <w:cantSplit/>
          <w:trHeight w:hRule="exact" w:val="680"/>
          <w:jc w:val="center"/>
        </w:trPr>
        <w:tc>
          <w:tcPr>
            <w:tcW w:w="4282"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从进入交割月前第三月的第一个交易日起，当持仓总量（X）达到下列标准时</w:t>
            </w:r>
          </w:p>
        </w:tc>
        <w:tc>
          <w:tcPr>
            <w:tcW w:w="2669"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680"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铜交易保证金比例</w:t>
            </w:r>
          </w:p>
        </w:tc>
      </w:tr>
      <w:tr w:rsidR="00E10318" w:rsidRPr="00E10318" w:rsidTr="00E10318">
        <w:trPr>
          <w:trHeight w:hRule="exact" w:val="369"/>
          <w:jc w:val="center"/>
        </w:trPr>
        <w:tc>
          <w:tcPr>
            <w:tcW w:w="4282"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lastRenderedPageBreak/>
              <w:t>X≤24万</w:t>
            </w:r>
          </w:p>
        </w:tc>
        <w:tc>
          <w:tcPr>
            <w:tcW w:w="2669"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5%</w:t>
            </w:r>
          </w:p>
        </w:tc>
      </w:tr>
      <w:tr w:rsidR="00E10318" w:rsidRPr="00E10318" w:rsidTr="00E10318">
        <w:trPr>
          <w:trHeight w:hRule="exact" w:val="369"/>
          <w:jc w:val="center"/>
        </w:trPr>
        <w:tc>
          <w:tcPr>
            <w:tcW w:w="4282"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24万＜X≤28万</w:t>
            </w:r>
          </w:p>
        </w:tc>
        <w:tc>
          <w:tcPr>
            <w:tcW w:w="2669"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6.5%</w:t>
            </w:r>
          </w:p>
        </w:tc>
      </w:tr>
      <w:tr w:rsidR="00E10318" w:rsidRPr="00E10318" w:rsidTr="00E10318">
        <w:trPr>
          <w:trHeight w:hRule="exact" w:val="369"/>
          <w:jc w:val="center"/>
        </w:trPr>
        <w:tc>
          <w:tcPr>
            <w:tcW w:w="4282"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28万＜X≤32万</w:t>
            </w:r>
          </w:p>
        </w:tc>
        <w:tc>
          <w:tcPr>
            <w:tcW w:w="2669"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8%</w:t>
            </w:r>
          </w:p>
        </w:tc>
      </w:tr>
      <w:tr w:rsidR="00E10318" w:rsidRPr="00E10318" w:rsidTr="00E10318">
        <w:trPr>
          <w:trHeight w:hRule="exact" w:val="369"/>
          <w:jc w:val="center"/>
        </w:trPr>
        <w:tc>
          <w:tcPr>
            <w:tcW w:w="4282"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X＞32万</w:t>
            </w:r>
          </w:p>
        </w:tc>
        <w:tc>
          <w:tcPr>
            <w:tcW w:w="2669"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bl>
    <w:p w:rsidR="00E10318" w:rsidRPr="00E10318" w:rsidRDefault="00E10318" w:rsidP="00E10318">
      <w:pPr>
        <w:widowControl/>
        <w:spacing w:before="100" w:beforeAutospacing="1" w:after="100" w:afterAutospacing="1"/>
        <w:ind w:leftChars="514" w:left="1079"/>
        <w:jc w:val="left"/>
        <w:rPr>
          <w:rFonts w:ascii="宋体" w:eastAsia="宋体" w:hAnsi="宋体" w:cs="宋体"/>
          <w:kern w:val="0"/>
          <w:sz w:val="24"/>
          <w:szCs w:val="24"/>
        </w:rPr>
      </w:pPr>
      <w:r w:rsidRPr="00E10318">
        <w:rPr>
          <w:rFonts w:ascii="仿宋" w:eastAsia="仿宋" w:hAnsi="仿宋" w:cs="宋体" w:hint="eastAsia"/>
          <w:spacing w:val="8"/>
          <w:kern w:val="0"/>
          <w:sz w:val="24"/>
          <w:szCs w:val="24"/>
        </w:rPr>
        <w:t>注：X表示某一月份合约的双边持仓总量，单位：手。</w:t>
      </w:r>
    </w:p>
    <w:p w:rsidR="00E10318" w:rsidRPr="00E10318" w:rsidRDefault="00E10318" w:rsidP="00E10318">
      <w:pPr>
        <w:widowControl/>
        <w:spacing w:before="100" w:beforeAutospacing="1" w:after="100" w:afterAutospacing="1"/>
        <w:ind w:leftChars="514" w:left="1079"/>
        <w:jc w:val="left"/>
        <w:rPr>
          <w:rFonts w:ascii="宋体" w:eastAsia="宋体" w:hAnsi="宋体" w:cs="宋体"/>
          <w:kern w:val="0"/>
          <w:sz w:val="24"/>
          <w:szCs w:val="24"/>
        </w:rPr>
      </w:pPr>
      <w:r w:rsidRPr="00E10318">
        <w:rPr>
          <w:rFonts w:ascii="宋体" w:eastAsia="宋体" w:hAnsi="宋体" w:cs="宋体" w:hint="eastAsia"/>
          <w:spacing w:val="8"/>
          <w:kern w:val="0"/>
          <w:sz w:val="24"/>
          <w:szCs w:val="24"/>
        </w:rPr>
        <w:t> </w:t>
      </w:r>
    </w:p>
    <w:p w:rsidR="00E10318" w:rsidRPr="00E10318" w:rsidRDefault="00E10318" w:rsidP="0036532F">
      <w:pPr>
        <w:widowControl/>
        <w:spacing w:before="100" w:beforeAutospacing="1" w:afterLines="50"/>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表二 铝期货合约持仓量变化时的交易保证金收取标准</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8"/>
        <w:gridCol w:w="2667"/>
      </w:tblGrid>
      <w:tr w:rsidR="00E10318" w:rsidRPr="00E10318" w:rsidTr="00E10318">
        <w:trPr>
          <w:cantSplit/>
          <w:trHeight w:hRule="exact" w:val="680"/>
          <w:jc w:val="center"/>
        </w:trPr>
        <w:tc>
          <w:tcPr>
            <w:tcW w:w="4282"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从进入交割月前第三月的第一个交易日起，</w:t>
            </w:r>
          </w:p>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当持仓总量（X）达到下列标准时</w:t>
            </w:r>
          </w:p>
        </w:tc>
        <w:tc>
          <w:tcPr>
            <w:tcW w:w="2669"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680" w:lineRule="auto"/>
              <w:jc w:val="center"/>
              <w:rPr>
                <w:rFonts w:ascii="宋体" w:eastAsia="宋体" w:hAnsi="宋体" w:cs="宋体"/>
                <w:kern w:val="0"/>
                <w:sz w:val="24"/>
                <w:szCs w:val="24"/>
              </w:rPr>
            </w:pPr>
            <w:proofErr w:type="gramStart"/>
            <w:r w:rsidRPr="00E10318">
              <w:rPr>
                <w:rFonts w:ascii="仿宋" w:eastAsia="仿宋" w:hAnsi="仿宋" w:cs="宋体" w:hint="eastAsia"/>
                <w:kern w:val="0"/>
                <w:sz w:val="24"/>
                <w:szCs w:val="24"/>
              </w:rPr>
              <w:t>铝交易</w:t>
            </w:r>
            <w:proofErr w:type="gramEnd"/>
            <w:r w:rsidRPr="00E10318">
              <w:rPr>
                <w:rFonts w:ascii="仿宋" w:eastAsia="仿宋" w:hAnsi="仿宋" w:cs="宋体" w:hint="eastAsia"/>
                <w:kern w:val="0"/>
                <w:sz w:val="24"/>
                <w:szCs w:val="24"/>
              </w:rPr>
              <w:t>保证金比例</w:t>
            </w:r>
          </w:p>
        </w:tc>
      </w:tr>
      <w:tr w:rsidR="00E10318" w:rsidRPr="00E10318" w:rsidTr="00E10318">
        <w:trPr>
          <w:trHeight w:hRule="exact" w:val="369"/>
          <w:jc w:val="center"/>
        </w:trPr>
        <w:tc>
          <w:tcPr>
            <w:tcW w:w="4282"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X≤24万</w:t>
            </w:r>
          </w:p>
        </w:tc>
        <w:tc>
          <w:tcPr>
            <w:tcW w:w="2669"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5%</w:t>
            </w:r>
          </w:p>
        </w:tc>
      </w:tr>
      <w:tr w:rsidR="00E10318" w:rsidRPr="00E10318" w:rsidTr="00E10318">
        <w:trPr>
          <w:trHeight w:hRule="exact" w:val="369"/>
          <w:jc w:val="center"/>
        </w:trPr>
        <w:tc>
          <w:tcPr>
            <w:tcW w:w="4282"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24万＜X≤28万</w:t>
            </w:r>
          </w:p>
        </w:tc>
        <w:tc>
          <w:tcPr>
            <w:tcW w:w="2669"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6.5%</w:t>
            </w:r>
          </w:p>
        </w:tc>
      </w:tr>
      <w:tr w:rsidR="00E10318" w:rsidRPr="00E10318" w:rsidTr="00E10318">
        <w:trPr>
          <w:trHeight w:hRule="exact" w:val="369"/>
          <w:jc w:val="center"/>
        </w:trPr>
        <w:tc>
          <w:tcPr>
            <w:tcW w:w="4282"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28万＜X≤32万</w:t>
            </w:r>
          </w:p>
        </w:tc>
        <w:tc>
          <w:tcPr>
            <w:tcW w:w="2669"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8%</w:t>
            </w:r>
          </w:p>
        </w:tc>
      </w:tr>
      <w:tr w:rsidR="00E10318" w:rsidRPr="00E10318" w:rsidTr="00E10318">
        <w:trPr>
          <w:trHeight w:hRule="exact" w:val="369"/>
          <w:jc w:val="center"/>
        </w:trPr>
        <w:tc>
          <w:tcPr>
            <w:tcW w:w="4282"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X＞32万</w:t>
            </w:r>
          </w:p>
        </w:tc>
        <w:tc>
          <w:tcPr>
            <w:tcW w:w="2669"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bl>
    <w:p w:rsidR="00E10318" w:rsidRPr="00E10318" w:rsidRDefault="00E10318" w:rsidP="00E10318">
      <w:pPr>
        <w:widowControl/>
        <w:spacing w:before="100" w:beforeAutospacing="1" w:after="100" w:afterAutospacing="1"/>
        <w:ind w:leftChars="514" w:left="1079"/>
        <w:jc w:val="left"/>
        <w:rPr>
          <w:rFonts w:ascii="宋体" w:eastAsia="宋体" w:hAnsi="宋体" w:cs="宋体"/>
          <w:kern w:val="0"/>
          <w:sz w:val="24"/>
          <w:szCs w:val="24"/>
        </w:rPr>
      </w:pPr>
      <w:r w:rsidRPr="00E10318">
        <w:rPr>
          <w:rFonts w:ascii="宋体" w:eastAsia="宋体" w:hAnsi="宋体" w:cs="宋体" w:hint="eastAsia"/>
          <w:spacing w:val="8"/>
          <w:kern w:val="0"/>
          <w:sz w:val="24"/>
          <w:szCs w:val="24"/>
        </w:rPr>
        <w:t> </w:t>
      </w:r>
      <w:r w:rsidRPr="00E10318">
        <w:rPr>
          <w:rFonts w:ascii="仿宋" w:eastAsia="仿宋" w:hAnsi="仿宋" w:cs="宋体" w:hint="eastAsia"/>
          <w:spacing w:val="8"/>
          <w:kern w:val="0"/>
          <w:sz w:val="24"/>
          <w:szCs w:val="24"/>
        </w:rPr>
        <w:t>注：X表示某一月份合约的双边持仓总量，单位：手。</w:t>
      </w:r>
    </w:p>
    <w:p w:rsidR="00E10318" w:rsidRPr="00E10318" w:rsidRDefault="00E10318" w:rsidP="00E10318">
      <w:pPr>
        <w:widowControl/>
        <w:spacing w:before="100" w:beforeAutospacing="1" w:after="100" w:afterAutospacing="1"/>
        <w:jc w:val="left"/>
        <w:rPr>
          <w:rFonts w:ascii="宋体" w:eastAsia="宋体" w:hAnsi="宋体" w:cs="宋体"/>
          <w:kern w:val="0"/>
          <w:sz w:val="24"/>
          <w:szCs w:val="24"/>
        </w:rPr>
      </w:pPr>
      <w:r w:rsidRPr="00E10318">
        <w:rPr>
          <w:rFonts w:ascii="宋体" w:eastAsia="宋体" w:hAnsi="宋体" w:cs="宋体" w:hint="eastAsia"/>
          <w:spacing w:val="8"/>
          <w:kern w:val="0"/>
          <w:sz w:val="24"/>
          <w:szCs w:val="24"/>
        </w:rPr>
        <w:t> </w:t>
      </w:r>
    </w:p>
    <w:p w:rsidR="00E10318" w:rsidRPr="00E10318" w:rsidRDefault="00E10318" w:rsidP="0036532F">
      <w:pPr>
        <w:widowControl/>
        <w:spacing w:before="100" w:beforeAutospacing="1" w:afterLines="50"/>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表三 锌期货合约持仓量变化时的交易保证金收取标准</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8"/>
        <w:gridCol w:w="2667"/>
      </w:tblGrid>
      <w:tr w:rsidR="00E10318" w:rsidRPr="00E10318" w:rsidTr="00E10318">
        <w:trPr>
          <w:cantSplit/>
          <w:trHeight w:hRule="exact" w:val="680"/>
          <w:jc w:val="center"/>
        </w:trPr>
        <w:tc>
          <w:tcPr>
            <w:tcW w:w="4282"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从进入交割月前第三月的第一个交易日起，</w:t>
            </w:r>
          </w:p>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当持仓总量（X）达到下列标准时</w:t>
            </w:r>
          </w:p>
        </w:tc>
        <w:tc>
          <w:tcPr>
            <w:tcW w:w="2669"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680" w:lineRule="auto"/>
              <w:jc w:val="center"/>
              <w:rPr>
                <w:rFonts w:ascii="宋体" w:eastAsia="宋体" w:hAnsi="宋体" w:cs="宋体"/>
                <w:kern w:val="0"/>
                <w:sz w:val="24"/>
                <w:szCs w:val="24"/>
              </w:rPr>
            </w:pPr>
            <w:proofErr w:type="gramStart"/>
            <w:r w:rsidRPr="00E10318">
              <w:rPr>
                <w:rFonts w:ascii="仿宋" w:eastAsia="仿宋" w:hAnsi="仿宋" w:cs="宋体" w:hint="eastAsia"/>
                <w:kern w:val="0"/>
                <w:sz w:val="24"/>
                <w:szCs w:val="24"/>
              </w:rPr>
              <w:t>锌</w:t>
            </w:r>
            <w:proofErr w:type="gramEnd"/>
            <w:r w:rsidRPr="00E10318">
              <w:rPr>
                <w:rFonts w:ascii="仿宋" w:eastAsia="仿宋" w:hAnsi="仿宋" w:cs="宋体" w:hint="eastAsia"/>
                <w:kern w:val="0"/>
                <w:sz w:val="24"/>
                <w:szCs w:val="24"/>
              </w:rPr>
              <w:t>交易保证金比例</w:t>
            </w:r>
          </w:p>
        </w:tc>
      </w:tr>
      <w:tr w:rsidR="00E10318" w:rsidRPr="00E10318" w:rsidTr="00E10318">
        <w:trPr>
          <w:trHeight w:hRule="exact" w:val="369"/>
          <w:jc w:val="center"/>
        </w:trPr>
        <w:tc>
          <w:tcPr>
            <w:tcW w:w="4282"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X≤24万</w:t>
            </w:r>
          </w:p>
        </w:tc>
        <w:tc>
          <w:tcPr>
            <w:tcW w:w="2669"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5%</w:t>
            </w:r>
          </w:p>
        </w:tc>
      </w:tr>
      <w:tr w:rsidR="00E10318" w:rsidRPr="00E10318" w:rsidTr="00E10318">
        <w:trPr>
          <w:trHeight w:hRule="exact" w:val="369"/>
          <w:jc w:val="center"/>
        </w:trPr>
        <w:tc>
          <w:tcPr>
            <w:tcW w:w="4282"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24万＜X≤28万</w:t>
            </w:r>
          </w:p>
        </w:tc>
        <w:tc>
          <w:tcPr>
            <w:tcW w:w="2669"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6.5%</w:t>
            </w:r>
          </w:p>
        </w:tc>
      </w:tr>
      <w:tr w:rsidR="00E10318" w:rsidRPr="00E10318" w:rsidTr="00E10318">
        <w:trPr>
          <w:trHeight w:hRule="exact" w:val="369"/>
          <w:jc w:val="center"/>
        </w:trPr>
        <w:tc>
          <w:tcPr>
            <w:tcW w:w="4282"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28万＜X≤32万</w:t>
            </w:r>
          </w:p>
        </w:tc>
        <w:tc>
          <w:tcPr>
            <w:tcW w:w="2669"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8%</w:t>
            </w:r>
          </w:p>
        </w:tc>
      </w:tr>
      <w:tr w:rsidR="00E10318" w:rsidRPr="00E10318" w:rsidTr="00E10318">
        <w:trPr>
          <w:trHeight w:hRule="exact" w:val="369"/>
          <w:jc w:val="center"/>
        </w:trPr>
        <w:tc>
          <w:tcPr>
            <w:tcW w:w="4282"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X＞32万</w:t>
            </w:r>
          </w:p>
        </w:tc>
        <w:tc>
          <w:tcPr>
            <w:tcW w:w="2669"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bl>
    <w:p w:rsidR="00E10318" w:rsidRPr="00E10318" w:rsidRDefault="00E10318" w:rsidP="00E10318">
      <w:pPr>
        <w:widowControl/>
        <w:spacing w:before="100" w:beforeAutospacing="1" w:after="100" w:afterAutospacing="1"/>
        <w:ind w:leftChars="514" w:left="1079"/>
        <w:jc w:val="left"/>
        <w:rPr>
          <w:rFonts w:ascii="宋体" w:eastAsia="宋体" w:hAnsi="宋体" w:cs="宋体"/>
          <w:kern w:val="0"/>
          <w:sz w:val="24"/>
          <w:szCs w:val="24"/>
        </w:rPr>
      </w:pPr>
      <w:r w:rsidRPr="00E10318">
        <w:rPr>
          <w:rFonts w:ascii="仿宋" w:eastAsia="仿宋" w:hAnsi="仿宋" w:cs="宋体" w:hint="eastAsia"/>
          <w:spacing w:val="8"/>
          <w:kern w:val="0"/>
          <w:sz w:val="24"/>
          <w:szCs w:val="24"/>
        </w:rPr>
        <w:t>注：X表示某一月份合约的双边持仓总量，单位：手。</w:t>
      </w:r>
    </w:p>
    <w:p w:rsidR="00E10318" w:rsidRPr="00E10318" w:rsidRDefault="00E10318" w:rsidP="00E10318">
      <w:pPr>
        <w:widowControl/>
        <w:spacing w:before="100" w:beforeAutospacing="1" w:after="100" w:afterAutospacing="1"/>
        <w:ind w:leftChars="514" w:left="1079"/>
        <w:jc w:val="left"/>
        <w:rPr>
          <w:rFonts w:ascii="宋体" w:eastAsia="宋体" w:hAnsi="宋体" w:cs="宋体"/>
          <w:kern w:val="0"/>
          <w:sz w:val="24"/>
          <w:szCs w:val="24"/>
        </w:rPr>
      </w:pPr>
      <w:r w:rsidRPr="00E10318">
        <w:rPr>
          <w:rFonts w:ascii="宋体" w:eastAsia="宋体" w:hAnsi="宋体" w:cs="宋体" w:hint="eastAsia"/>
          <w:spacing w:val="8"/>
          <w:kern w:val="0"/>
          <w:sz w:val="24"/>
          <w:szCs w:val="24"/>
        </w:rPr>
        <w:t> </w:t>
      </w:r>
    </w:p>
    <w:p w:rsidR="00E10318" w:rsidRPr="00E10318" w:rsidRDefault="00E10318" w:rsidP="0036532F">
      <w:pPr>
        <w:widowControl/>
        <w:spacing w:before="100" w:beforeAutospacing="1" w:afterLines="50"/>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表四 铅期货合约持仓量变化时的交易保证金收取标准</w:t>
      </w:r>
    </w:p>
    <w:tbl>
      <w:tblPr>
        <w:tblW w:w="6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2"/>
        <w:gridCol w:w="2783"/>
      </w:tblGrid>
      <w:tr w:rsidR="00E10318" w:rsidRPr="00E10318" w:rsidTr="00E10318">
        <w:trPr>
          <w:cantSplit/>
          <w:trHeight w:hRule="exact" w:val="717"/>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bookmarkStart w:id="0" w:name="OLE_LINK361" w:colFirst="0" w:colLast="0"/>
            <w:bookmarkStart w:id="1" w:name="OLE_LINK362" w:colFirst="0" w:colLast="0"/>
            <w:r w:rsidRPr="00E10318">
              <w:rPr>
                <w:rFonts w:ascii="仿宋" w:eastAsia="仿宋" w:hAnsi="仿宋" w:cs="宋体" w:hint="eastAsia"/>
                <w:color w:val="333333"/>
                <w:kern w:val="0"/>
                <w:sz w:val="24"/>
                <w:szCs w:val="24"/>
              </w:rPr>
              <w:t>从进入交割月前第三月的第一个交易日起，当持仓总量（X）达到下列标准时</w:t>
            </w:r>
          </w:p>
        </w:tc>
        <w:tc>
          <w:tcPr>
            <w:tcW w:w="2785"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717" w:lineRule="auto"/>
              <w:jc w:val="center"/>
              <w:rPr>
                <w:rFonts w:ascii="宋体" w:eastAsia="宋体" w:hAnsi="宋体" w:cs="宋体"/>
                <w:kern w:val="0"/>
                <w:sz w:val="24"/>
                <w:szCs w:val="24"/>
              </w:rPr>
            </w:pPr>
            <w:proofErr w:type="gramStart"/>
            <w:r w:rsidRPr="00E10318">
              <w:rPr>
                <w:rFonts w:ascii="仿宋" w:eastAsia="仿宋" w:hAnsi="仿宋" w:cs="宋体" w:hint="eastAsia"/>
                <w:kern w:val="0"/>
                <w:sz w:val="24"/>
                <w:szCs w:val="24"/>
              </w:rPr>
              <w:t>铅交易</w:t>
            </w:r>
            <w:proofErr w:type="gramEnd"/>
            <w:r w:rsidRPr="00E10318">
              <w:rPr>
                <w:rFonts w:ascii="仿宋" w:eastAsia="仿宋" w:hAnsi="仿宋" w:cs="宋体" w:hint="eastAsia"/>
                <w:kern w:val="0"/>
                <w:sz w:val="24"/>
                <w:szCs w:val="24"/>
              </w:rPr>
              <w:t>保证金比例</w:t>
            </w:r>
          </w:p>
        </w:tc>
      </w:tr>
      <w:tr w:rsidR="00E10318" w:rsidRPr="00E10318" w:rsidTr="00E10318">
        <w:trPr>
          <w:trHeight w:hRule="exact" w:val="369"/>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X≤20万</w:t>
            </w:r>
          </w:p>
        </w:tc>
        <w:tc>
          <w:tcPr>
            <w:tcW w:w="2785"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5%</w:t>
            </w:r>
          </w:p>
        </w:tc>
      </w:tr>
      <w:tr w:rsidR="00E10318" w:rsidRPr="00E10318" w:rsidTr="00E10318">
        <w:trPr>
          <w:trHeight w:hRule="exact" w:val="369"/>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20万＜X≤30万</w:t>
            </w:r>
          </w:p>
        </w:tc>
        <w:tc>
          <w:tcPr>
            <w:tcW w:w="2785"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r w:rsidR="00E10318" w:rsidRPr="00E10318" w:rsidTr="00E10318">
        <w:trPr>
          <w:trHeight w:hRule="exact" w:val="369"/>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X＞30万</w:t>
            </w:r>
          </w:p>
        </w:tc>
        <w:tc>
          <w:tcPr>
            <w:tcW w:w="2785"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12%</w:t>
            </w:r>
          </w:p>
        </w:tc>
      </w:tr>
    </w:tbl>
    <w:p w:rsidR="00E10318" w:rsidRPr="00E10318" w:rsidRDefault="00E10318" w:rsidP="00E10318">
      <w:pPr>
        <w:widowControl/>
        <w:spacing w:before="100" w:beforeAutospacing="1" w:after="100" w:afterAutospacing="1"/>
        <w:ind w:leftChars="514" w:left="1079"/>
        <w:jc w:val="left"/>
        <w:rPr>
          <w:rFonts w:ascii="宋体" w:eastAsia="宋体" w:hAnsi="宋体" w:cs="宋体"/>
          <w:kern w:val="0"/>
          <w:sz w:val="24"/>
          <w:szCs w:val="24"/>
        </w:rPr>
      </w:pPr>
      <w:r w:rsidRPr="00E10318">
        <w:rPr>
          <w:rFonts w:ascii="仿宋" w:eastAsia="仿宋" w:hAnsi="仿宋" w:cs="宋体" w:hint="eastAsia"/>
          <w:spacing w:val="8"/>
          <w:kern w:val="0"/>
          <w:sz w:val="24"/>
          <w:szCs w:val="24"/>
        </w:rPr>
        <w:lastRenderedPageBreak/>
        <w:t>注：X表示某一月份合约的双边持仓总量，单位：手。</w:t>
      </w:r>
    </w:p>
    <w:p w:rsidR="00E10318" w:rsidRPr="00E10318" w:rsidRDefault="00E10318" w:rsidP="00E10318">
      <w:pPr>
        <w:widowControl/>
        <w:spacing w:before="100" w:beforeAutospacing="1" w:after="100" w:afterAutospacing="1"/>
        <w:ind w:leftChars="514" w:left="1079"/>
        <w:jc w:val="left"/>
        <w:rPr>
          <w:rFonts w:ascii="宋体" w:eastAsia="宋体" w:hAnsi="宋体" w:cs="宋体"/>
          <w:kern w:val="0"/>
          <w:sz w:val="24"/>
          <w:szCs w:val="24"/>
        </w:rPr>
      </w:pPr>
      <w:r w:rsidRPr="00E10318">
        <w:rPr>
          <w:rFonts w:ascii="宋体" w:eastAsia="宋体" w:hAnsi="宋体" w:cs="宋体" w:hint="eastAsia"/>
          <w:spacing w:val="8"/>
          <w:kern w:val="0"/>
          <w:sz w:val="24"/>
          <w:szCs w:val="24"/>
        </w:rPr>
        <w:t> </w:t>
      </w:r>
    </w:p>
    <w:p w:rsidR="00E10318" w:rsidRPr="00E10318" w:rsidRDefault="00E10318" w:rsidP="0036532F">
      <w:pPr>
        <w:widowControl/>
        <w:spacing w:before="100" w:beforeAutospacing="1" w:afterLines="50"/>
        <w:jc w:val="center"/>
        <w:rPr>
          <w:rFonts w:ascii="宋体" w:eastAsia="宋体" w:hAnsi="宋体" w:cs="宋体"/>
          <w:kern w:val="0"/>
          <w:sz w:val="24"/>
          <w:szCs w:val="24"/>
        </w:rPr>
      </w:pPr>
      <w:r w:rsidRPr="00E10318">
        <w:rPr>
          <w:rFonts w:ascii="仿宋" w:eastAsia="仿宋" w:hAnsi="仿宋" w:cs="宋体" w:hint="eastAsia"/>
          <w:b/>
          <w:bCs/>
          <w:kern w:val="0"/>
          <w:sz w:val="24"/>
          <w:szCs w:val="24"/>
        </w:rPr>
        <w:t>表五 镍期货合约持仓量变化时的交易保证金收取标准</w:t>
      </w:r>
    </w:p>
    <w:tbl>
      <w:tblPr>
        <w:tblW w:w="688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02"/>
        <w:gridCol w:w="2783"/>
      </w:tblGrid>
      <w:tr w:rsidR="00E10318" w:rsidRPr="00E10318" w:rsidTr="00E10318">
        <w:trPr>
          <w:cantSplit/>
          <w:trHeight w:hRule="exact" w:val="717"/>
          <w:jc w:val="center"/>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从进入交割月前第三月的第一个交易日起，当持仓总量（X）达到下列标准时</w:t>
            </w:r>
          </w:p>
        </w:tc>
        <w:tc>
          <w:tcPr>
            <w:tcW w:w="2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717" w:lineRule="auto"/>
              <w:jc w:val="center"/>
              <w:rPr>
                <w:rFonts w:ascii="宋体" w:eastAsia="宋体" w:hAnsi="宋体" w:cs="宋体"/>
                <w:kern w:val="0"/>
                <w:sz w:val="24"/>
                <w:szCs w:val="24"/>
              </w:rPr>
            </w:pPr>
            <w:proofErr w:type="gramStart"/>
            <w:r w:rsidRPr="00E10318">
              <w:rPr>
                <w:rFonts w:ascii="仿宋" w:eastAsia="仿宋" w:hAnsi="仿宋" w:cs="宋体" w:hint="eastAsia"/>
                <w:kern w:val="0"/>
                <w:sz w:val="24"/>
                <w:szCs w:val="24"/>
              </w:rPr>
              <w:t>镍交易</w:t>
            </w:r>
            <w:proofErr w:type="gramEnd"/>
            <w:r w:rsidRPr="00E10318">
              <w:rPr>
                <w:rFonts w:ascii="仿宋" w:eastAsia="仿宋" w:hAnsi="仿宋" w:cs="宋体" w:hint="eastAsia"/>
                <w:kern w:val="0"/>
                <w:sz w:val="24"/>
                <w:szCs w:val="24"/>
              </w:rPr>
              <w:t>保证金比例</w:t>
            </w:r>
          </w:p>
        </w:tc>
      </w:tr>
      <w:tr w:rsidR="00E10318" w:rsidRPr="00E10318" w:rsidTr="00E10318">
        <w:trPr>
          <w:trHeight w:hRule="exact" w:val="369"/>
          <w:jc w:val="center"/>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X≤24万</w:t>
            </w:r>
          </w:p>
        </w:tc>
        <w:tc>
          <w:tcPr>
            <w:tcW w:w="2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5%</w:t>
            </w:r>
          </w:p>
        </w:tc>
      </w:tr>
      <w:tr w:rsidR="00E10318" w:rsidRPr="00E10318" w:rsidTr="00E10318">
        <w:trPr>
          <w:trHeight w:hRule="exact" w:val="369"/>
          <w:jc w:val="center"/>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24万＜X≤36万</w:t>
            </w:r>
          </w:p>
        </w:tc>
        <w:tc>
          <w:tcPr>
            <w:tcW w:w="2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8%</w:t>
            </w:r>
          </w:p>
        </w:tc>
      </w:tr>
      <w:tr w:rsidR="00E10318" w:rsidRPr="00E10318" w:rsidTr="00E10318">
        <w:trPr>
          <w:trHeight w:hRule="exact" w:val="369"/>
          <w:jc w:val="center"/>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X＞36万</w:t>
            </w:r>
          </w:p>
        </w:tc>
        <w:tc>
          <w:tcPr>
            <w:tcW w:w="2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bl>
    <w:p w:rsidR="00E10318" w:rsidRPr="00E10318" w:rsidRDefault="00E10318" w:rsidP="00E10318">
      <w:pPr>
        <w:widowControl/>
        <w:spacing w:before="100" w:beforeAutospacing="1" w:after="100" w:afterAutospacing="1"/>
        <w:ind w:leftChars="514" w:left="1079"/>
        <w:jc w:val="left"/>
        <w:rPr>
          <w:rFonts w:ascii="宋体" w:eastAsia="宋体" w:hAnsi="宋体" w:cs="宋体"/>
          <w:kern w:val="0"/>
          <w:sz w:val="24"/>
          <w:szCs w:val="24"/>
        </w:rPr>
      </w:pPr>
      <w:r w:rsidRPr="00E10318">
        <w:rPr>
          <w:rFonts w:ascii="仿宋" w:eastAsia="仿宋" w:hAnsi="仿宋" w:cs="宋体" w:hint="eastAsia"/>
          <w:spacing w:val="8"/>
          <w:kern w:val="0"/>
          <w:sz w:val="24"/>
          <w:szCs w:val="24"/>
        </w:rPr>
        <w:t>注：X表示某一月份合约的双边持仓总量，单位：手。</w:t>
      </w:r>
    </w:p>
    <w:p w:rsidR="00E10318" w:rsidRPr="00E10318" w:rsidRDefault="00E10318" w:rsidP="00E10318">
      <w:pPr>
        <w:widowControl/>
        <w:spacing w:before="100" w:beforeAutospacing="1" w:after="100" w:afterAutospacing="1"/>
        <w:ind w:leftChars="514" w:left="1079"/>
        <w:jc w:val="left"/>
        <w:rPr>
          <w:rFonts w:ascii="宋体" w:eastAsia="宋体" w:hAnsi="宋体" w:cs="宋体"/>
          <w:kern w:val="0"/>
          <w:sz w:val="24"/>
          <w:szCs w:val="24"/>
        </w:rPr>
      </w:pPr>
      <w:r w:rsidRPr="00E10318">
        <w:rPr>
          <w:rFonts w:ascii="宋体" w:eastAsia="宋体" w:hAnsi="宋体" w:cs="宋体" w:hint="eastAsia"/>
          <w:spacing w:val="8"/>
          <w:kern w:val="0"/>
          <w:sz w:val="24"/>
          <w:szCs w:val="24"/>
        </w:rPr>
        <w:t> </w:t>
      </w:r>
    </w:p>
    <w:p w:rsidR="00E10318" w:rsidRPr="00E10318" w:rsidRDefault="00E10318" w:rsidP="0036532F">
      <w:pPr>
        <w:widowControl/>
        <w:spacing w:before="100" w:beforeAutospacing="1" w:afterLines="50"/>
        <w:jc w:val="center"/>
        <w:rPr>
          <w:rFonts w:ascii="宋体" w:eastAsia="宋体" w:hAnsi="宋体" w:cs="宋体"/>
          <w:kern w:val="0"/>
          <w:sz w:val="24"/>
          <w:szCs w:val="24"/>
        </w:rPr>
      </w:pPr>
      <w:r w:rsidRPr="00E10318">
        <w:rPr>
          <w:rFonts w:ascii="仿宋" w:eastAsia="仿宋" w:hAnsi="仿宋" w:cs="宋体" w:hint="eastAsia"/>
          <w:b/>
          <w:bCs/>
          <w:kern w:val="0"/>
          <w:sz w:val="24"/>
          <w:szCs w:val="24"/>
        </w:rPr>
        <w:t>表六 锡期货合约持仓量变化时的交易保证金收取标准</w:t>
      </w:r>
    </w:p>
    <w:tbl>
      <w:tblPr>
        <w:tblW w:w="688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02"/>
        <w:gridCol w:w="2783"/>
      </w:tblGrid>
      <w:tr w:rsidR="00E10318" w:rsidRPr="00E10318" w:rsidTr="00E10318">
        <w:trPr>
          <w:cantSplit/>
          <w:trHeight w:hRule="exact" w:val="717"/>
          <w:jc w:val="center"/>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从进入交割月前第三月的第一个交易日起，当持仓总量（X）达到下列标准时</w:t>
            </w:r>
          </w:p>
        </w:tc>
        <w:tc>
          <w:tcPr>
            <w:tcW w:w="2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717" w:lineRule="auto"/>
              <w:jc w:val="center"/>
              <w:rPr>
                <w:rFonts w:ascii="宋体" w:eastAsia="宋体" w:hAnsi="宋体" w:cs="宋体"/>
                <w:kern w:val="0"/>
                <w:sz w:val="24"/>
                <w:szCs w:val="24"/>
              </w:rPr>
            </w:pPr>
            <w:proofErr w:type="gramStart"/>
            <w:r w:rsidRPr="00E10318">
              <w:rPr>
                <w:rFonts w:ascii="仿宋" w:eastAsia="仿宋" w:hAnsi="仿宋" w:cs="宋体" w:hint="eastAsia"/>
                <w:kern w:val="0"/>
                <w:sz w:val="24"/>
                <w:szCs w:val="24"/>
              </w:rPr>
              <w:t>锡交易</w:t>
            </w:r>
            <w:proofErr w:type="gramEnd"/>
            <w:r w:rsidRPr="00E10318">
              <w:rPr>
                <w:rFonts w:ascii="仿宋" w:eastAsia="仿宋" w:hAnsi="仿宋" w:cs="宋体" w:hint="eastAsia"/>
                <w:kern w:val="0"/>
                <w:sz w:val="24"/>
                <w:szCs w:val="24"/>
              </w:rPr>
              <w:t>保证金比例</w:t>
            </w:r>
          </w:p>
        </w:tc>
      </w:tr>
      <w:tr w:rsidR="00E10318" w:rsidRPr="00E10318" w:rsidTr="00E10318">
        <w:trPr>
          <w:trHeight w:hRule="exact" w:val="369"/>
          <w:jc w:val="center"/>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X≤6万</w:t>
            </w:r>
          </w:p>
        </w:tc>
        <w:tc>
          <w:tcPr>
            <w:tcW w:w="2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5%</w:t>
            </w:r>
          </w:p>
        </w:tc>
      </w:tr>
      <w:tr w:rsidR="00E10318" w:rsidRPr="00E10318" w:rsidTr="00E10318">
        <w:trPr>
          <w:trHeight w:hRule="exact" w:val="369"/>
          <w:jc w:val="center"/>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6万＜X≤9万</w:t>
            </w:r>
          </w:p>
        </w:tc>
        <w:tc>
          <w:tcPr>
            <w:tcW w:w="2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8%</w:t>
            </w:r>
          </w:p>
        </w:tc>
      </w:tr>
      <w:tr w:rsidR="00E10318" w:rsidRPr="00E10318" w:rsidTr="00E10318">
        <w:trPr>
          <w:trHeight w:hRule="exact" w:val="369"/>
          <w:jc w:val="center"/>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X＞9万</w:t>
            </w:r>
          </w:p>
        </w:tc>
        <w:tc>
          <w:tcPr>
            <w:tcW w:w="2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bl>
    <w:p w:rsidR="00E10318" w:rsidRPr="00E10318" w:rsidRDefault="00E10318" w:rsidP="00E10318">
      <w:pPr>
        <w:widowControl/>
        <w:spacing w:before="100" w:beforeAutospacing="1" w:after="100" w:afterAutospacing="1"/>
        <w:ind w:leftChars="514" w:left="1079"/>
        <w:jc w:val="left"/>
        <w:rPr>
          <w:rFonts w:ascii="宋体" w:eastAsia="宋体" w:hAnsi="宋体" w:cs="宋体"/>
          <w:kern w:val="0"/>
          <w:sz w:val="24"/>
          <w:szCs w:val="24"/>
        </w:rPr>
      </w:pPr>
      <w:r w:rsidRPr="00E10318">
        <w:rPr>
          <w:rFonts w:ascii="仿宋" w:eastAsia="仿宋" w:hAnsi="仿宋" w:cs="宋体" w:hint="eastAsia"/>
          <w:spacing w:val="8"/>
          <w:kern w:val="0"/>
          <w:sz w:val="24"/>
          <w:szCs w:val="24"/>
        </w:rPr>
        <w:t>注：X表示某一月份合约的双边持仓总量，单位：手。</w:t>
      </w:r>
    </w:p>
    <w:p w:rsidR="00E10318" w:rsidRPr="00E10318" w:rsidRDefault="00E10318" w:rsidP="00E10318">
      <w:pPr>
        <w:widowControl/>
        <w:spacing w:before="100" w:beforeAutospacing="1" w:after="100" w:afterAutospacing="1"/>
        <w:ind w:leftChars="514" w:left="1079"/>
        <w:jc w:val="left"/>
        <w:rPr>
          <w:rFonts w:ascii="宋体" w:eastAsia="宋体" w:hAnsi="宋体" w:cs="宋体"/>
          <w:kern w:val="0"/>
          <w:sz w:val="24"/>
          <w:szCs w:val="24"/>
        </w:rPr>
      </w:pPr>
      <w:r w:rsidRPr="00E10318">
        <w:rPr>
          <w:rFonts w:ascii="宋体" w:eastAsia="宋体" w:hAnsi="宋体" w:cs="宋体" w:hint="eastAsia"/>
          <w:spacing w:val="8"/>
          <w:kern w:val="0"/>
          <w:sz w:val="24"/>
          <w:szCs w:val="24"/>
        </w:rPr>
        <w:t> </w:t>
      </w:r>
    </w:p>
    <w:p w:rsidR="00E10318" w:rsidRPr="00E10318" w:rsidRDefault="00E10318" w:rsidP="00E10318">
      <w:pPr>
        <w:widowControl/>
        <w:spacing w:before="100" w:beforeAutospacing="1" w:after="100" w:afterAutospacing="1" w:line="360" w:lineRule="auto"/>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表七 螺纹钢期货合约持仓量变化时的交易保证金收取标准</w:t>
      </w:r>
    </w:p>
    <w:tbl>
      <w:tblPr>
        <w:tblW w:w="6870"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4"/>
        <w:gridCol w:w="2666"/>
      </w:tblGrid>
      <w:tr w:rsidR="00E10318" w:rsidRPr="00E10318" w:rsidTr="00E10318">
        <w:trPr>
          <w:cantSplit/>
          <w:trHeight w:hRule="exact" w:val="680"/>
          <w:jc w:val="center"/>
        </w:trPr>
        <w:tc>
          <w:tcPr>
            <w:tcW w:w="4208" w:type="dxa"/>
            <w:tcBorders>
              <w:top w:val="single" w:sz="8" w:space="0" w:color="auto"/>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680"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从进入交割月前第三月的第一个交易日起，当持仓总量（X）达到下列标准时</w:t>
            </w:r>
          </w:p>
        </w:tc>
        <w:tc>
          <w:tcPr>
            <w:tcW w:w="2669" w:type="dxa"/>
            <w:tcBorders>
              <w:top w:val="single" w:sz="8" w:space="0" w:color="auto"/>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680"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螺纹钢交易保证金比例</w:t>
            </w:r>
          </w:p>
        </w:tc>
      </w:tr>
      <w:tr w:rsidR="00E10318" w:rsidRPr="00E10318" w:rsidTr="00E10318">
        <w:trPr>
          <w:trHeight w:hRule="exact" w:val="369"/>
          <w:jc w:val="center"/>
        </w:trPr>
        <w:tc>
          <w:tcPr>
            <w:tcW w:w="4208"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X≤120万</w:t>
            </w:r>
          </w:p>
        </w:tc>
        <w:tc>
          <w:tcPr>
            <w:tcW w:w="2669"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5%</w:t>
            </w:r>
          </w:p>
        </w:tc>
      </w:tr>
      <w:tr w:rsidR="00E10318" w:rsidRPr="00E10318" w:rsidTr="00E10318">
        <w:trPr>
          <w:trHeight w:hRule="exact" w:val="369"/>
          <w:jc w:val="center"/>
        </w:trPr>
        <w:tc>
          <w:tcPr>
            <w:tcW w:w="4208"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120万＜X≤135万</w:t>
            </w:r>
          </w:p>
        </w:tc>
        <w:tc>
          <w:tcPr>
            <w:tcW w:w="2669"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7%</w:t>
            </w:r>
          </w:p>
        </w:tc>
      </w:tr>
      <w:tr w:rsidR="00E10318" w:rsidRPr="00E10318" w:rsidTr="00E10318">
        <w:trPr>
          <w:trHeight w:hRule="exact" w:val="369"/>
          <w:jc w:val="center"/>
        </w:trPr>
        <w:tc>
          <w:tcPr>
            <w:tcW w:w="4208"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135万＜X≤150万</w:t>
            </w:r>
          </w:p>
        </w:tc>
        <w:tc>
          <w:tcPr>
            <w:tcW w:w="2669"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宋体" w:eastAsia="宋体" w:hAnsi="宋体" w:cs="宋体" w:hint="eastAsia"/>
                <w:kern w:val="0"/>
                <w:sz w:val="24"/>
                <w:szCs w:val="24"/>
              </w:rPr>
              <w:t> </w:t>
            </w:r>
            <w:r w:rsidRPr="00E10318">
              <w:rPr>
                <w:rFonts w:ascii="仿宋" w:eastAsia="仿宋" w:hAnsi="仿宋" w:cs="仿宋" w:hint="eastAsia"/>
                <w:kern w:val="0"/>
                <w:sz w:val="24"/>
                <w:szCs w:val="24"/>
              </w:rPr>
              <w:t>9%</w:t>
            </w:r>
          </w:p>
        </w:tc>
      </w:tr>
      <w:tr w:rsidR="00E10318" w:rsidRPr="00E10318" w:rsidTr="00E10318">
        <w:trPr>
          <w:trHeight w:hRule="exact" w:val="369"/>
          <w:jc w:val="center"/>
        </w:trPr>
        <w:tc>
          <w:tcPr>
            <w:tcW w:w="4208"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宋体" w:eastAsia="宋体" w:hAnsi="宋体" w:cs="宋体" w:hint="eastAsia"/>
                <w:kern w:val="0"/>
                <w:sz w:val="24"/>
                <w:szCs w:val="24"/>
              </w:rPr>
              <w:t> </w:t>
            </w:r>
            <w:r w:rsidRPr="00E10318">
              <w:rPr>
                <w:rFonts w:ascii="仿宋" w:eastAsia="仿宋" w:hAnsi="仿宋" w:cs="仿宋" w:hint="eastAsia"/>
                <w:kern w:val="0"/>
                <w:sz w:val="24"/>
                <w:szCs w:val="24"/>
              </w:rPr>
              <w:t>X</w:t>
            </w:r>
            <w:r w:rsidRPr="00E10318">
              <w:rPr>
                <w:rFonts w:ascii="仿宋" w:eastAsia="仿宋" w:hAnsi="仿宋" w:cs="宋体" w:hint="eastAsia"/>
                <w:kern w:val="0"/>
                <w:sz w:val="24"/>
                <w:szCs w:val="24"/>
              </w:rPr>
              <w:t xml:space="preserve">＞150万 </w:t>
            </w:r>
          </w:p>
        </w:tc>
        <w:tc>
          <w:tcPr>
            <w:tcW w:w="2669"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宋体" w:eastAsia="宋体" w:hAnsi="宋体" w:cs="宋体" w:hint="eastAsia"/>
                <w:kern w:val="0"/>
                <w:sz w:val="24"/>
                <w:szCs w:val="24"/>
              </w:rPr>
              <w:t> </w:t>
            </w:r>
            <w:r w:rsidRPr="00E10318">
              <w:rPr>
                <w:rFonts w:ascii="仿宋" w:eastAsia="仿宋" w:hAnsi="仿宋" w:cs="仿宋" w:hint="eastAsia"/>
                <w:kern w:val="0"/>
                <w:sz w:val="24"/>
                <w:szCs w:val="24"/>
              </w:rPr>
              <w:t>11%</w:t>
            </w:r>
          </w:p>
        </w:tc>
      </w:tr>
    </w:tbl>
    <w:p w:rsidR="00E10318" w:rsidRPr="00E10318" w:rsidRDefault="00E10318" w:rsidP="00E10318">
      <w:pPr>
        <w:widowControl/>
        <w:spacing w:before="100" w:beforeAutospacing="1" w:after="100" w:afterAutospacing="1"/>
        <w:ind w:leftChars="514" w:left="1079"/>
        <w:jc w:val="left"/>
        <w:rPr>
          <w:rFonts w:ascii="宋体" w:eastAsia="宋体" w:hAnsi="宋体" w:cs="宋体"/>
          <w:kern w:val="0"/>
          <w:sz w:val="24"/>
          <w:szCs w:val="24"/>
        </w:rPr>
      </w:pPr>
      <w:r w:rsidRPr="00E10318">
        <w:rPr>
          <w:rFonts w:ascii="仿宋" w:eastAsia="仿宋" w:hAnsi="仿宋" w:cs="宋体" w:hint="eastAsia"/>
          <w:spacing w:val="8"/>
          <w:kern w:val="0"/>
          <w:sz w:val="24"/>
          <w:szCs w:val="24"/>
        </w:rPr>
        <w:t>注：X表示某一月份合约的双边持仓总量，单位：手。</w:t>
      </w:r>
    </w:p>
    <w:p w:rsidR="00E10318" w:rsidRPr="00E10318" w:rsidRDefault="00E10318" w:rsidP="00E10318">
      <w:pPr>
        <w:widowControl/>
        <w:spacing w:before="100" w:beforeAutospacing="1" w:after="100" w:afterAutospacing="1"/>
        <w:ind w:leftChars="514" w:left="1079"/>
        <w:jc w:val="left"/>
        <w:rPr>
          <w:rFonts w:ascii="宋体" w:eastAsia="宋体" w:hAnsi="宋体" w:cs="宋体"/>
          <w:kern w:val="0"/>
          <w:sz w:val="24"/>
          <w:szCs w:val="24"/>
        </w:rPr>
      </w:pPr>
      <w:r w:rsidRPr="00E10318">
        <w:rPr>
          <w:rFonts w:ascii="宋体" w:eastAsia="宋体" w:hAnsi="宋体" w:cs="宋体" w:hint="eastAsia"/>
          <w:spacing w:val="8"/>
          <w:kern w:val="0"/>
          <w:sz w:val="24"/>
          <w:szCs w:val="24"/>
        </w:rPr>
        <w:t> </w:t>
      </w:r>
    </w:p>
    <w:p w:rsidR="00E10318" w:rsidRPr="00E10318" w:rsidRDefault="00E10318" w:rsidP="0036532F">
      <w:pPr>
        <w:widowControl/>
        <w:spacing w:before="100" w:beforeAutospacing="1" w:afterLines="50"/>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表八</w:t>
      </w:r>
      <w:r w:rsidRPr="00E10318">
        <w:rPr>
          <w:rFonts w:ascii="宋体" w:eastAsia="宋体" w:hAnsi="宋体" w:cs="宋体" w:hint="eastAsia"/>
          <w:b/>
          <w:bCs/>
          <w:spacing w:val="8"/>
          <w:kern w:val="0"/>
          <w:sz w:val="24"/>
          <w:szCs w:val="24"/>
        </w:rPr>
        <w:t> </w:t>
      </w:r>
      <w:r w:rsidRPr="00E10318">
        <w:rPr>
          <w:rFonts w:ascii="仿宋" w:eastAsia="仿宋" w:hAnsi="仿宋" w:cs="仿宋" w:hint="eastAsia"/>
          <w:b/>
          <w:bCs/>
          <w:spacing w:val="8"/>
          <w:kern w:val="0"/>
          <w:sz w:val="24"/>
          <w:szCs w:val="24"/>
        </w:rPr>
        <w:t xml:space="preserve"> </w:t>
      </w:r>
      <w:r w:rsidRPr="00E10318">
        <w:rPr>
          <w:rFonts w:ascii="仿宋" w:eastAsia="仿宋" w:hAnsi="仿宋" w:cs="宋体" w:hint="eastAsia"/>
          <w:b/>
          <w:bCs/>
          <w:spacing w:val="8"/>
          <w:kern w:val="0"/>
          <w:sz w:val="24"/>
          <w:szCs w:val="24"/>
        </w:rPr>
        <w:t>线材期货合约持仓量变化时的交易保证金收取标准</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8"/>
        <w:gridCol w:w="2667"/>
      </w:tblGrid>
      <w:tr w:rsidR="00E10318" w:rsidRPr="00E10318" w:rsidTr="00E10318">
        <w:trPr>
          <w:cantSplit/>
          <w:trHeight w:hRule="exact" w:val="680"/>
          <w:jc w:val="center"/>
        </w:trPr>
        <w:tc>
          <w:tcPr>
            <w:tcW w:w="4282"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lastRenderedPageBreak/>
              <w:t>从进入交割月前第三月的第一个交易日起，</w:t>
            </w:r>
          </w:p>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当持仓总量（X）达到下列标准时</w:t>
            </w:r>
          </w:p>
        </w:tc>
        <w:tc>
          <w:tcPr>
            <w:tcW w:w="2669"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680"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线材交易保证金比例</w:t>
            </w:r>
          </w:p>
        </w:tc>
      </w:tr>
      <w:tr w:rsidR="00E10318" w:rsidRPr="00E10318" w:rsidTr="00E10318">
        <w:trPr>
          <w:trHeight w:hRule="exact" w:val="369"/>
          <w:jc w:val="center"/>
        </w:trPr>
        <w:tc>
          <w:tcPr>
            <w:tcW w:w="4282"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X≤45万</w:t>
            </w:r>
          </w:p>
        </w:tc>
        <w:tc>
          <w:tcPr>
            <w:tcW w:w="2669"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7%</w:t>
            </w:r>
          </w:p>
        </w:tc>
      </w:tr>
      <w:tr w:rsidR="00E10318" w:rsidRPr="00E10318" w:rsidTr="00E10318">
        <w:trPr>
          <w:trHeight w:hRule="exact" w:val="369"/>
          <w:jc w:val="center"/>
        </w:trPr>
        <w:tc>
          <w:tcPr>
            <w:tcW w:w="4282"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45万＜X≤60万</w:t>
            </w:r>
          </w:p>
        </w:tc>
        <w:tc>
          <w:tcPr>
            <w:tcW w:w="2669"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8%</w:t>
            </w:r>
          </w:p>
        </w:tc>
      </w:tr>
      <w:tr w:rsidR="00E10318" w:rsidRPr="00E10318" w:rsidTr="00E10318">
        <w:trPr>
          <w:trHeight w:hRule="exact" w:val="369"/>
          <w:jc w:val="center"/>
        </w:trPr>
        <w:tc>
          <w:tcPr>
            <w:tcW w:w="4282"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60万＜X≤75万</w:t>
            </w:r>
          </w:p>
        </w:tc>
        <w:tc>
          <w:tcPr>
            <w:tcW w:w="2669"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r w:rsidR="00E10318" w:rsidRPr="00E10318" w:rsidTr="00E10318">
        <w:trPr>
          <w:trHeight w:hRule="exact" w:val="369"/>
          <w:jc w:val="center"/>
        </w:trPr>
        <w:tc>
          <w:tcPr>
            <w:tcW w:w="4282"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X＞75万</w:t>
            </w:r>
          </w:p>
        </w:tc>
        <w:tc>
          <w:tcPr>
            <w:tcW w:w="2669"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12%</w:t>
            </w:r>
          </w:p>
        </w:tc>
      </w:tr>
    </w:tbl>
    <w:p w:rsidR="00E10318" w:rsidRPr="00E10318" w:rsidRDefault="00E10318" w:rsidP="0036532F">
      <w:pPr>
        <w:widowControl/>
        <w:spacing w:before="100" w:beforeAutospacing="1" w:afterLines="50"/>
        <w:ind w:firstLineChars="498" w:firstLine="1275"/>
        <w:jc w:val="left"/>
        <w:rPr>
          <w:rFonts w:ascii="宋体" w:eastAsia="宋体" w:hAnsi="宋体" w:cs="宋体"/>
          <w:kern w:val="0"/>
          <w:sz w:val="24"/>
          <w:szCs w:val="24"/>
        </w:rPr>
      </w:pPr>
      <w:r w:rsidRPr="00E10318">
        <w:rPr>
          <w:rFonts w:ascii="仿宋" w:eastAsia="仿宋" w:hAnsi="仿宋" w:cs="宋体" w:hint="eastAsia"/>
          <w:spacing w:val="8"/>
          <w:kern w:val="0"/>
          <w:sz w:val="24"/>
          <w:szCs w:val="24"/>
        </w:rPr>
        <w:t>注：X表示某一月份合约的双边持仓总量，单位：手。</w:t>
      </w:r>
    </w:p>
    <w:p w:rsidR="00E10318" w:rsidRPr="00E10318" w:rsidRDefault="00E10318" w:rsidP="00E10318">
      <w:pPr>
        <w:widowControl/>
        <w:spacing w:before="100" w:beforeAutospacing="1" w:after="100" w:afterAutospacing="1"/>
        <w:ind w:leftChars="514" w:left="1079"/>
        <w:jc w:val="left"/>
        <w:rPr>
          <w:rFonts w:ascii="宋体" w:eastAsia="宋体" w:hAnsi="宋体" w:cs="宋体"/>
          <w:kern w:val="0"/>
          <w:sz w:val="24"/>
          <w:szCs w:val="24"/>
        </w:rPr>
      </w:pPr>
      <w:r w:rsidRPr="00E10318">
        <w:rPr>
          <w:rFonts w:ascii="宋体" w:eastAsia="宋体" w:hAnsi="宋体" w:cs="宋体" w:hint="eastAsia"/>
          <w:spacing w:val="8"/>
          <w:kern w:val="0"/>
          <w:sz w:val="24"/>
          <w:szCs w:val="24"/>
        </w:rPr>
        <w:t> </w:t>
      </w:r>
    </w:p>
    <w:p w:rsidR="00E10318" w:rsidRPr="00E10318" w:rsidRDefault="00E10318" w:rsidP="0036532F">
      <w:pPr>
        <w:widowControl/>
        <w:spacing w:before="100" w:beforeAutospacing="1" w:afterLines="50"/>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表九 黄金期货合约持仓量变化时的交易保证金收取标准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2"/>
        <w:gridCol w:w="2717"/>
      </w:tblGrid>
      <w:tr w:rsidR="00E10318" w:rsidRPr="00E10318" w:rsidTr="00E10318">
        <w:trPr>
          <w:cantSplit/>
          <w:trHeight w:hRule="exact" w:val="680"/>
          <w:jc w:val="center"/>
        </w:trPr>
        <w:tc>
          <w:tcPr>
            <w:tcW w:w="4252" w:type="dxa"/>
            <w:tcBorders>
              <w:top w:val="single" w:sz="8" w:space="0" w:color="auto"/>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680" w:lineRule="auto"/>
              <w:jc w:val="center"/>
              <w:rPr>
                <w:rFonts w:ascii="宋体" w:eastAsia="宋体" w:hAnsi="宋体" w:cs="宋体"/>
                <w:kern w:val="0"/>
                <w:sz w:val="24"/>
                <w:szCs w:val="24"/>
              </w:rPr>
            </w:pPr>
            <w:r w:rsidRPr="00E10318">
              <w:rPr>
                <w:rFonts w:ascii="仿宋_GB2312" w:eastAsia="仿宋_GB2312" w:hAnsi="宋体" w:cs="宋体" w:hint="eastAsia"/>
                <w:kern w:val="0"/>
                <w:sz w:val="24"/>
                <w:szCs w:val="24"/>
              </w:rPr>
              <w:t>从进入交割月前第三月的第一个交易日起，当持仓总量（</w:t>
            </w:r>
            <w:r w:rsidRPr="00E10318">
              <w:rPr>
                <w:rFonts w:ascii="宋体" w:eastAsia="宋体" w:hAnsi="宋体" w:cs="宋体"/>
                <w:kern w:val="0"/>
                <w:sz w:val="24"/>
                <w:szCs w:val="24"/>
              </w:rPr>
              <w:t>X</w:t>
            </w:r>
            <w:r w:rsidRPr="00E10318">
              <w:rPr>
                <w:rFonts w:ascii="仿宋_GB2312" w:eastAsia="仿宋_GB2312" w:hAnsi="宋体" w:cs="宋体" w:hint="eastAsia"/>
                <w:kern w:val="0"/>
                <w:sz w:val="24"/>
                <w:szCs w:val="24"/>
              </w:rPr>
              <w:t>）达到下列标准时</w:t>
            </w:r>
          </w:p>
        </w:tc>
        <w:tc>
          <w:tcPr>
            <w:tcW w:w="2717" w:type="dxa"/>
            <w:tcBorders>
              <w:top w:val="single" w:sz="8" w:space="0" w:color="auto"/>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680" w:lineRule="auto"/>
              <w:jc w:val="center"/>
              <w:rPr>
                <w:rFonts w:ascii="宋体" w:eastAsia="宋体" w:hAnsi="宋体" w:cs="宋体"/>
                <w:kern w:val="0"/>
                <w:sz w:val="24"/>
                <w:szCs w:val="24"/>
              </w:rPr>
            </w:pPr>
            <w:r w:rsidRPr="00E10318">
              <w:rPr>
                <w:rFonts w:ascii="仿宋_GB2312" w:eastAsia="仿宋_GB2312" w:hAnsi="宋体" w:cs="宋体" w:hint="eastAsia"/>
                <w:kern w:val="0"/>
                <w:sz w:val="24"/>
                <w:szCs w:val="24"/>
              </w:rPr>
              <w:t>黄金交易保证金比例</w:t>
            </w:r>
          </w:p>
        </w:tc>
      </w:tr>
      <w:tr w:rsidR="00E10318" w:rsidRPr="00E10318" w:rsidTr="00E10318">
        <w:trPr>
          <w:trHeight w:hRule="exact" w:val="369"/>
          <w:jc w:val="center"/>
        </w:trPr>
        <w:tc>
          <w:tcPr>
            <w:tcW w:w="4252"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宋体" w:eastAsia="宋体" w:hAnsi="宋体" w:cs="宋体"/>
                <w:kern w:val="0"/>
                <w:sz w:val="24"/>
                <w:szCs w:val="24"/>
              </w:rPr>
              <w:t>X</w:t>
            </w:r>
            <w:r w:rsidRPr="00E10318">
              <w:rPr>
                <w:rFonts w:ascii="仿宋_GB2312" w:eastAsia="仿宋_GB2312" w:hAnsi="宋体" w:cs="宋体" w:hint="eastAsia"/>
                <w:kern w:val="0"/>
                <w:sz w:val="24"/>
                <w:szCs w:val="24"/>
              </w:rPr>
              <w:t>≤</w:t>
            </w:r>
            <w:r w:rsidRPr="00E10318">
              <w:rPr>
                <w:rFonts w:ascii="宋体" w:eastAsia="宋体" w:hAnsi="宋体" w:cs="宋体"/>
                <w:kern w:val="0"/>
                <w:sz w:val="24"/>
                <w:szCs w:val="24"/>
              </w:rPr>
              <w:t>36</w:t>
            </w:r>
            <w:r w:rsidRPr="00E10318">
              <w:rPr>
                <w:rFonts w:ascii="仿宋_GB2312" w:eastAsia="仿宋_GB2312" w:hAnsi="宋体" w:cs="宋体" w:hint="eastAsia"/>
                <w:kern w:val="0"/>
                <w:sz w:val="24"/>
                <w:szCs w:val="24"/>
              </w:rPr>
              <w:t>万</w:t>
            </w:r>
          </w:p>
        </w:tc>
        <w:tc>
          <w:tcPr>
            <w:tcW w:w="2717"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宋体" w:eastAsia="宋体" w:hAnsi="宋体" w:cs="宋体"/>
                <w:kern w:val="0"/>
                <w:sz w:val="24"/>
                <w:szCs w:val="24"/>
              </w:rPr>
              <w:t>4%</w:t>
            </w:r>
          </w:p>
        </w:tc>
      </w:tr>
      <w:tr w:rsidR="00E10318" w:rsidRPr="00E10318" w:rsidTr="00E10318">
        <w:trPr>
          <w:trHeight w:hRule="exact" w:val="369"/>
          <w:jc w:val="center"/>
        </w:trPr>
        <w:tc>
          <w:tcPr>
            <w:tcW w:w="4252"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宋体" w:eastAsia="宋体" w:hAnsi="宋体" w:cs="宋体"/>
                <w:kern w:val="0"/>
                <w:sz w:val="24"/>
                <w:szCs w:val="24"/>
              </w:rPr>
              <w:t>36</w:t>
            </w:r>
            <w:r w:rsidRPr="00E10318">
              <w:rPr>
                <w:rFonts w:ascii="仿宋_GB2312" w:eastAsia="仿宋_GB2312" w:hAnsi="宋体" w:cs="宋体" w:hint="eastAsia"/>
                <w:kern w:val="0"/>
                <w:sz w:val="24"/>
                <w:szCs w:val="24"/>
              </w:rPr>
              <w:t>万＜</w:t>
            </w:r>
            <w:r w:rsidRPr="00E10318">
              <w:rPr>
                <w:rFonts w:ascii="宋体" w:eastAsia="宋体" w:hAnsi="宋体" w:cs="宋体"/>
                <w:kern w:val="0"/>
                <w:sz w:val="24"/>
                <w:szCs w:val="24"/>
              </w:rPr>
              <w:t>X</w:t>
            </w:r>
            <w:r w:rsidRPr="00E10318">
              <w:rPr>
                <w:rFonts w:ascii="仿宋_GB2312" w:eastAsia="仿宋_GB2312" w:hAnsi="宋体" w:cs="宋体" w:hint="eastAsia"/>
                <w:kern w:val="0"/>
                <w:sz w:val="24"/>
                <w:szCs w:val="24"/>
              </w:rPr>
              <w:t>≤</w:t>
            </w:r>
            <w:r w:rsidRPr="00E10318">
              <w:rPr>
                <w:rFonts w:ascii="宋体" w:eastAsia="宋体" w:hAnsi="宋体" w:cs="宋体"/>
                <w:kern w:val="0"/>
                <w:sz w:val="24"/>
                <w:szCs w:val="24"/>
              </w:rPr>
              <w:t>48</w:t>
            </w:r>
            <w:r w:rsidRPr="00E10318">
              <w:rPr>
                <w:rFonts w:ascii="仿宋_GB2312" w:eastAsia="仿宋_GB2312" w:hAnsi="宋体" w:cs="宋体" w:hint="eastAsia"/>
                <w:kern w:val="0"/>
                <w:sz w:val="24"/>
                <w:szCs w:val="24"/>
              </w:rPr>
              <w:t>万</w:t>
            </w:r>
          </w:p>
        </w:tc>
        <w:tc>
          <w:tcPr>
            <w:tcW w:w="2717"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宋体" w:eastAsia="宋体" w:hAnsi="宋体" w:cs="宋体"/>
                <w:kern w:val="0"/>
                <w:sz w:val="24"/>
                <w:szCs w:val="24"/>
              </w:rPr>
              <w:t>7%</w:t>
            </w:r>
          </w:p>
        </w:tc>
      </w:tr>
      <w:tr w:rsidR="00E10318" w:rsidRPr="00E10318" w:rsidTr="00E10318">
        <w:trPr>
          <w:trHeight w:hRule="exact" w:val="369"/>
          <w:jc w:val="center"/>
        </w:trPr>
        <w:tc>
          <w:tcPr>
            <w:tcW w:w="4252"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宋体" w:eastAsia="宋体" w:hAnsi="宋体" w:cs="宋体"/>
                <w:kern w:val="0"/>
                <w:sz w:val="24"/>
                <w:szCs w:val="24"/>
              </w:rPr>
              <w:t>X</w:t>
            </w:r>
            <w:r w:rsidRPr="00E10318">
              <w:rPr>
                <w:rFonts w:ascii="仿宋_GB2312" w:eastAsia="仿宋_GB2312" w:hAnsi="宋体" w:cs="宋体" w:hint="eastAsia"/>
                <w:kern w:val="0"/>
                <w:sz w:val="24"/>
                <w:szCs w:val="24"/>
              </w:rPr>
              <w:t>＞</w:t>
            </w:r>
            <w:r w:rsidRPr="00E10318">
              <w:rPr>
                <w:rFonts w:ascii="宋体" w:eastAsia="宋体" w:hAnsi="宋体" w:cs="宋体"/>
                <w:kern w:val="0"/>
                <w:sz w:val="24"/>
                <w:szCs w:val="24"/>
              </w:rPr>
              <w:t>48</w:t>
            </w:r>
            <w:r w:rsidRPr="00E10318">
              <w:rPr>
                <w:rFonts w:ascii="仿宋_GB2312" w:eastAsia="仿宋_GB2312" w:hAnsi="宋体" w:cs="宋体" w:hint="eastAsia"/>
                <w:kern w:val="0"/>
                <w:sz w:val="24"/>
                <w:szCs w:val="24"/>
              </w:rPr>
              <w:t>万</w:t>
            </w:r>
          </w:p>
        </w:tc>
        <w:tc>
          <w:tcPr>
            <w:tcW w:w="2717"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宋体" w:eastAsia="宋体" w:hAnsi="宋体" w:cs="宋体"/>
                <w:kern w:val="0"/>
                <w:sz w:val="24"/>
                <w:szCs w:val="24"/>
              </w:rPr>
              <w:t>10%</w:t>
            </w:r>
          </w:p>
        </w:tc>
      </w:tr>
    </w:tbl>
    <w:p w:rsidR="00E10318" w:rsidRPr="00E10318" w:rsidRDefault="00E10318" w:rsidP="0036532F">
      <w:pPr>
        <w:widowControl/>
        <w:spacing w:before="100" w:beforeAutospacing="1" w:afterLines="50"/>
        <w:ind w:firstLineChars="498" w:firstLine="1275"/>
        <w:jc w:val="left"/>
        <w:rPr>
          <w:rFonts w:ascii="宋体" w:eastAsia="宋体" w:hAnsi="宋体" w:cs="宋体"/>
          <w:kern w:val="0"/>
          <w:sz w:val="24"/>
          <w:szCs w:val="24"/>
        </w:rPr>
      </w:pPr>
      <w:r w:rsidRPr="00E10318">
        <w:rPr>
          <w:rFonts w:ascii="仿宋" w:eastAsia="仿宋" w:hAnsi="仿宋" w:cs="宋体" w:hint="eastAsia"/>
          <w:spacing w:val="8"/>
          <w:kern w:val="0"/>
          <w:sz w:val="24"/>
          <w:szCs w:val="24"/>
        </w:rPr>
        <w:t>注：X表示某一月份合约的双边持仓总量，单位：手。</w:t>
      </w:r>
    </w:p>
    <w:p w:rsidR="00E10318" w:rsidRPr="00E10318" w:rsidRDefault="00E10318" w:rsidP="0036532F">
      <w:pPr>
        <w:widowControl/>
        <w:spacing w:before="100" w:beforeAutospacing="1" w:afterLines="50"/>
        <w:ind w:firstLineChars="498" w:firstLine="1275"/>
        <w:jc w:val="left"/>
        <w:rPr>
          <w:rFonts w:ascii="宋体" w:eastAsia="宋体" w:hAnsi="宋体" w:cs="宋体"/>
          <w:kern w:val="0"/>
          <w:sz w:val="24"/>
          <w:szCs w:val="24"/>
        </w:rPr>
      </w:pPr>
      <w:r w:rsidRPr="00E10318">
        <w:rPr>
          <w:rFonts w:ascii="宋体" w:eastAsia="宋体" w:hAnsi="宋体" w:cs="宋体" w:hint="eastAsia"/>
          <w:spacing w:val="8"/>
          <w:kern w:val="0"/>
          <w:sz w:val="24"/>
          <w:szCs w:val="24"/>
        </w:rPr>
        <w:t> </w:t>
      </w:r>
    </w:p>
    <w:p w:rsidR="00E10318" w:rsidRPr="00E10318" w:rsidRDefault="00E10318" w:rsidP="0036532F">
      <w:pPr>
        <w:widowControl/>
        <w:spacing w:before="100" w:beforeAutospacing="1" w:afterLines="50"/>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表十 白银期货合约持仓量变化时的交易保证金收取标准</w:t>
      </w:r>
    </w:p>
    <w:tbl>
      <w:tblPr>
        <w:tblW w:w="0" w:type="auto"/>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8"/>
        <w:gridCol w:w="3314"/>
      </w:tblGrid>
      <w:tr w:rsidR="00E10318" w:rsidRPr="00E10318" w:rsidTr="00E10318">
        <w:trPr>
          <w:trHeight w:val="832"/>
          <w:jc w:val="center"/>
        </w:trPr>
        <w:tc>
          <w:tcPr>
            <w:tcW w:w="3818" w:type="dxa"/>
            <w:tcBorders>
              <w:top w:val="single" w:sz="8" w:space="0" w:color="auto"/>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从进入交割月前第三月的第一个交易日起，当持仓总量（X）达到下列标准时</w:t>
            </w:r>
          </w:p>
        </w:tc>
        <w:tc>
          <w:tcPr>
            <w:tcW w:w="3314" w:type="dxa"/>
            <w:tcBorders>
              <w:top w:val="single" w:sz="8" w:space="0" w:color="auto"/>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白银交易保证金比例</w:t>
            </w:r>
          </w:p>
        </w:tc>
      </w:tr>
      <w:tr w:rsidR="00E10318" w:rsidRPr="00E10318" w:rsidTr="00E10318">
        <w:trPr>
          <w:trHeight w:val="405"/>
          <w:jc w:val="center"/>
        </w:trPr>
        <w:tc>
          <w:tcPr>
            <w:tcW w:w="3818"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X≤30万</w:t>
            </w:r>
          </w:p>
        </w:tc>
        <w:tc>
          <w:tcPr>
            <w:tcW w:w="3314"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宋体" w:eastAsia="宋体" w:hAnsi="宋体" w:cs="宋体" w:hint="eastAsia"/>
                <w:kern w:val="0"/>
                <w:sz w:val="24"/>
                <w:szCs w:val="24"/>
              </w:rPr>
              <w:t> </w:t>
            </w:r>
            <w:r w:rsidRPr="00E10318">
              <w:rPr>
                <w:rFonts w:ascii="仿宋" w:eastAsia="仿宋" w:hAnsi="仿宋" w:cs="仿宋" w:hint="eastAsia"/>
                <w:kern w:val="0"/>
                <w:sz w:val="24"/>
                <w:szCs w:val="24"/>
              </w:rPr>
              <w:t>4%</w:t>
            </w:r>
          </w:p>
        </w:tc>
      </w:tr>
      <w:tr w:rsidR="00E10318" w:rsidRPr="00E10318" w:rsidTr="00E10318">
        <w:trPr>
          <w:trHeight w:val="405"/>
          <w:jc w:val="center"/>
        </w:trPr>
        <w:tc>
          <w:tcPr>
            <w:tcW w:w="3818"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30万＜X≤60万</w:t>
            </w:r>
          </w:p>
        </w:tc>
        <w:tc>
          <w:tcPr>
            <w:tcW w:w="3314"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7%</w:t>
            </w:r>
          </w:p>
        </w:tc>
      </w:tr>
      <w:tr w:rsidR="00E10318" w:rsidRPr="00E10318" w:rsidTr="00E10318">
        <w:trPr>
          <w:trHeight w:val="405"/>
          <w:jc w:val="center"/>
        </w:trPr>
        <w:tc>
          <w:tcPr>
            <w:tcW w:w="3818"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X＞60万</w:t>
            </w:r>
          </w:p>
        </w:tc>
        <w:tc>
          <w:tcPr>
            <w:tcW w:w="3314"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bl>
    <w:p w:rsidR="00E10318" w:rsidRPr="00E10318" w:rsidRDefault="00E10318" w:rsidP="0036532F">
      <w:pPr>
        <w:widowControl/>
        <w:spacing w:before="100" w:beforeAutospacing="1" w:afterLines="50"/>
        <w:ind w:firstLineChars="498" w:firstLine="1275"/>
        <w:jc w:val="left"/>
        <w:rPr>
          <w:rFonts w:ascii="宋体" w:eastAsia="宋体" w:hAnsi="宋体" w:cs="宋体"/>
          <w:kern w:val="0"/>
          <w:sz w:val="24"/>
          <w:szCs w:val="24"/>
        </w:rPr>
      </w:pPr>
      <w:r w:rsidRPr="00E10318">
        <w:rPr>
          <w:rFonts w:ascii="仿宋" w:eastAsia="仿宋" w:hAnsi="仿宋" w:cs="宋体" w:hint="eastAsia"/>
          <w:spacing w:val="8"/>
          <w:kern w:val="0"/>
          <w:sz w:val="24"/>
          <w:szCs w:val="24"/>
        </w:rPr>
        <w:t>注：X表示某一月份合约的双边持仓总量，单位：手。</w:t>
      </w:r>
    </w:p>
    <w:p w:rsidR="00E10318" w:rsidRPr="00E10318" w:rsidRDefault="00E10318" w:rsidP="0036532F">
      <w:pPr>
        <w:widowControl/>
        <w:spacing w:before="100" w:beforeAutospacing="1" w:afterLines="50"/>
        <w:jc w:val="center"/>
        <w:rPr>
          <w:rFonts w:ascii="宋体" w:eastAsia="宋体" w:hAnsi="宋体" w:cs="宋体"/>
          <w:kern w:val="0"/>
          <w:sz w:val="24"/>
          <w:szCs w:val="24"/>
        </w:rPr>
      </w:pPr>
      <w:r w:rsidRPr="00E10318">
        <w:rPr>
          <w:rFonts w:ascii="宋体" w:eastAsia="宋体" w:hAnsi="宋体" w:cs="宋体" w:hint="eastAsia"/>
          <w:spacing w:val="8"/>
          <w:kern w:val="0"/>
          <w:sz w:val="24"/>
          <w:szCs w:val="24"/>
        </w:rPr>
        <w:t> </w:t>
      </w:r>
    </w:p>
    <w:p w:rsidR="00E10318" w:rsidRPr="00E10318" w:rsidRDefault="00E10318" w:rsidP="0036532F">
      <w:pPr>
        <w:widowControl/>
        <w:spacing w:before="100" w:beforeAutospacing="1" w:afterLines="50"/>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表十一 天然橡胶期货合约持仓量变化时的交易保证金收取标准</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6"/>
        <w:gridCol w:w="2699"/>
      </w:tblGrid>
      <w:tr w:rsidR="00E10318" w:rsidRPr="00E10318" w:rsidTr="00E10318">
        <w:trPr>
          <w:cantSplit/>
          <w:trHeight w:hRule="exact" w:val="680"/>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从合约新上市挂牌之日起，</w:t>
            </w:r>
          </w:p>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当持仓总量（X）达到下列标准时</w:t>
            </w:r>
          </w:p>
        </w:tc>
        <w:tc>
          <w:tcPr>
            <w:tcW w:w="270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680"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天然橡胶交易保证金比例</w:t>
            </w:r>
          </w:p>
        </w:tc>
      </w:tr>
      <w:tr w:rsidR="00E10318" w:rsidRPr="00E10318" w:rsidTr="00E10318">
        <w:trPr>
          <w:trHeight w:hRule="exact" w:val="369"/>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宋体" w:eastAsia="宋体" w:hAnsi="宋体" w:cs="宋体" w:hint="eastAsia"/>
                <w:kern w:val="0"/>
                <w:sz w:val="24"/>
                <w:szCs w:val="24"/>
              </w:rPr>
              <w:t> </w:t>
            </w:r>
            <w:r w:rsidRPr="00E10318">
              <w:rPr>
                <w:rFonts w:ascii="仿宋" w:eastAsia="仿宋" w:hAnsi="仿宋" w:cs="仿宋" w:hint="eastAsia"/>
                <w:kern w:val="0"/>
                <w:sz w:val="24"/>
                <w:szCs w:val="24"/>
              </w:rPr>
              <w:t>X</w:t>
            </w:r>
            <w:r w:rsidRPr="00E10318">
              <w:rPr>
                <w:rFonts w:ascii="仿宋" w:eastAsia="仿宋" w:hAnsi="仿宋" w:cs="宋体" w:hint="eastAsia"/>
                <w:kern w:val="0"/>
                <w:sz w:val="24"/>
                <w:szCs w:val="24"/>
              </w:rPr>
              <w:t>≤8万</w:t>
            </w:r>
          </w:p>
        </w:tc>
        <w:tc>
          <w:tcPr>
            <w:tcW w:w="270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5%</w:t>
            </w:r>
          </w:p>
        </w:tc>
      </w:tr>
      <w:tr w:rsidR="00E10318" w:rsidRPr="00E10318" w:rsidTr="00E10318">
        <w:trPr>
          <w:trHeight w:hRule="exact" w:val="369"/>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8万＜X≤12万</w:t>
            </w:r>
          </w:p>
        </w:tc>
        <w:tc>
          <w:tcPr>
            <w:tcW w:w="270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8%</w:t>
            </w:r>
          </w:p>
        </w:tc>
      </w:tr>
      <w:tr w:rsidR="00E10318" w:rsidRPr="00E10318" w:rsidTr="00E10318">
        <w:trPr>
          <w:trHeight w:hRule="exact" w:val="369"/>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12万＜X≤16万</w:t>
            </w:r>
          </w:p>
        </w:tc>
        <w:tc>
          <w:tcPr>
            <w:tcW w:w="270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r w:rsidR="00E10318" w:rsidRPr="00E10318" w:rsidTr="00E10318">
        <w:trPr>
          <w:trHeight w:hRule="exact" w:val="369"/>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宋体" w:eastAsia="宋体" w:hAnsi="宋体" w:cs="宋体" w:hint="eastAsia"/>
                <w:kern w:val="0"/>
                <w:sz w:val="24"/>
                <w:szCs w:val="24"/>
              </w:rPr>
              <w:lastRenderedPageBreak/>
              <w:t> </w:t>
            </w:r>
            <w:r w:rsidRPr="00E10318">
              <w:rPr>
                <w:rFonts w:ascii="仿宋" w:eastAsia="仿宋" w:hAnsi="仿宋" w:cs="仿宋" w:hint="eastAsia"/>
                <w:kern w:val="0"/>
                <w:sz w:val="24"/>
                <w:szCs w:val="24"/>
              </w:rPr>
              <w:t>X</w:t>
            </w:r>
            <w:r w:rsidRPr="00E10318">
              <w:rPr>
                <w:rFonts w:ascii="仿宋" w:eastAsia="仿宋" w:hAnsi="仿宋" w:cs="宋体" w:hint="eastAsia"/>
                <w:kern w:val="0"/>
                <w:sz w:val="24"/>
                <w:szCs w:val="24"/>
              </w:rPr>
              <w:t>＞16万</w:t>
            </w:r>
          </w:p>
        </w:tc>
        <w:tc>
          <w:tcPr>
            <w:tcW w:w="270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12%</w:t>
            </w:r>
          </w:p>
        </w:tc>
      </w:tr>
    </w:tbl>
    <w:p w:rsidR="00E10318" w:rsidRPr="00E10318" w:rsidRDefault="00E10318" w:rsidP="00E10318">
      <w:pPr>
        <w:widowControl/>
        <w:spacing w:before="100" w:beforeAutospacing="1" w:after="100" w:afterAutospacing="1"/>
        <w:ind w:leftChars="514" w:left="1079"/>
        <w:jc w:val="left"/>
        <w:rPr>
          <w:rFonts w:ascii="宋体" w:eastAsia="宋体" w:hAnsi="宋体" w:cs="宋体"/>
          <w:kern w:val="0"/>
          <w:sz w:val="24"/>
          <w:szCs w:val="24"/>
        </w:rPr>
      </w:pPr>
      <w:r w:rsidRPr="00E10318">
        <w:rPr>
          <w:rFonts w:ascii="仿宋" w:eastAsia="仿宋" w:hAnsi="仿宋" w:cs="宋体" w:hint="eastAsia"/>
          <w:spacing w:val="8"/>
          <w:kern w:val="0"/>
          <w:sz w:val="24"/>
          <w:szCs w:val="24"/>
        </w:rPr>
        <w:t>注：X表示某一月份合约的双边持仓总量，单位：手。</w:t>
      </w:r>
    </w:p>
    <w:p w:rsidR="00E10318" w:rsidRPr="00E10318" w:rsidRDefault="00E10318" w:rsidP="0036532F">
      <w:pPr>
        <w:widowControl/>
        <w:spacing w:before="100" w:beforeAutospacing="1" w:afterLines="50"/>
        <w:jc w:val="center"/>
        <w:rPr>
          <w:rFonts w:ascii="宋体" w:eastAsia="宋体" w:hAnsi="宋体" w:cs="宋体"/>
          <w:kern w:val="0"/>
          <w:sz w:val="24"/>
          <w:szCs w:val="24"/>
        </w:rPr>
      </w:pPr>
      <w:r w:rsidRPr="00E10318">
        <w:rPr>
          <w:rFonts w:ascii="宋体" w:eastAsia="宋体" w:hAnsi="宋体" w:cs="宋体" w:hint="eastAsia"/>
          <w:spacing w:val="8"/>
          <w:kern w:val="0"/>
          <w:sz w:val="24"/>
          <w:szCs w:val="24"/>
        </w:rPr>
        <w:t> </w:t>
      </w:r>
    </w:p>
    <w:p w:rsidR="00E10318" w:rsidRPr="00E10318" w:rsidRDefault="00E10318" w:rsidP="0036532F">
      <w:pPr>
        <w:widowControl/>
        <w:spacing w:before="100" w:beforeAutospacing="1" w:afterLines="50"/>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表十二</w:t>
      </w:r>
      <w:r w:rsidRPr="00E10318">
        <w:rPr>
          <w:rFonts w:ascii="宋体" w:eastAsia="宋体" w:hAnsi="宋体" w:cs="宋体" w:hint="eastAsia"/>
          <w:b/>
          <w:bCs/>
          <w:spacing w:val="8"/>
          <w:kern w:val="0"/>
          <w:sz w:val="24"/>
          <w:szCs w:val="24"/>
        </w:rPr>
        <w:t> </w:t>
      </w:r>
      <w:r w:rsidRPr="00E10318">
        <w:rPr>
          <w:rFonts w:ascii="仿宋" w:eastAsia="仿宋" w:hAnsi="仿宋" w:cs="仿宋" w:hint="eastAsia"/>
          <w:b/>
          <w:bCs/>
          <w:spacing w:val="8"/>
          <w:kern w:val="0"/>
          <w:sz w:val="24"/>
          <w:szCs w:val="24"/>
        </w:rPr>
        <w:t xml:space="preserve"> </w:t>
      </w:r>
      <w:r w:rsidRPr="00E10318">
        <w:rPr>
          <w:rFonts w:ascii="仿宋" w:eastAsia="仿宋" w:hAnsi="仿宋" w:cs="宋体" w:hint="eastAsia"/>
          <w:b/>
          <w:bCs/>
          <w:spacing w:val="8"/>
          <w:kern w:val="0"/>
          <w:sz w:val="24"/>
          <w:szCs w:val="24"/>
        </w:rPr>
        <w:t>燃料油期货合约持仓量变化时的交易保证金收取标准</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6"/>
        <w:gridCol w:w="2699"/>
      </w:tblGrid>
      <w:tr w:rsidR="00E10318" w:rsidRPr="00E10318" w:rsidTr="00E10318">
        <w:trPr>
          <w:cantSplit/>
          <w:trHeight w:hRule="exact" w:val="680"/>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从合约新上市挂牌之日起，</w:t>
            </w:r>
          </w:p>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当持仓总量（X）达到下列标准时</w:t>
            </w:r>
          </w:p>
        </w:tc>
        <w:tc>
          <w:tcPr>
            <w:tcW w:w="270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680"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燃料油交易保证金比例</w:t>
            </w:r>
          </w:p>
        </w:tc>
      </w:tr>
      <w:tr w:rsidR="00E10318" w:rsidRPr="00E10318" w:rsidTr="00E10318">
        <w:trPr>
          <w:cantSplit/>
          <w:trHeight w:hRule="exact" w:val="369"/>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X≤10万</w:t>
            </w:r>
          </w:p>
        </w:tc>
        <w:tc>
          <w:tcPr>
            <w:tcW w:w="270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8%</w:t>
            </w:r>
          </w:p>
        </w:tc>
      </w:tr>
      <w:tr w:rsidR="00E10318" w:rsidRPr="00E10318" w:rsidTr="00E10318">
        <w:trPr>
          <w:cantSplit/>
          <w:trHeight w:hRule="exact" w:val="369"/>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10万＜X≤15万</w:t>
            </w:r>
          </w:p>
        </w:tc>
        <w:tc>
          <w:tcPr>
            <w:tcW w:w="270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r w:rsidR="00E10318" w:rsidRPr="00E10318" w:rsidTr="00E10318">
        <w:trPr>
          <w:cantSplit/>
          <w:trHeight w:hRule="exact" w:val="369"/>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15万＜X≤20万</w:t>
            </w:r>
          </w:p>
        </w:tc>
        <w:tc>
          <w:tcPr>
            <w:tcW w:w="270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12%</w:t>
            </w:r>
          </w:p>
        </w:tc>
      </w:tr>
      <w:tr w:rsidR="00E10318" w:rsidRPr="00E10318" w:rsidTr="00E10318">
        <w:trPr>
          <w:cantSplit/>
          <w:trHeight w:hRule="exact" w:val="369"/>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X＞20万</w:t>
            </w:r>
          </w:p>
        </w:tc>
        <w:tc>
          <w:tcPr>
            <w:tcW w:w="270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15%</w:t>
            </w:r>
          </w:p>
        </w:tc>
      </w:tr>
    </w:tbl>
    <w:p w:rsidR="00E10318" w:rsidRPr="00E10318" w:rsidRDefault="00E10318" w:rsidP="00E10318">
      <w:pPr>
        <w:widowControl/>
        <w:spacing w:before="100" w:beforeAutospacing="1" w:after="100" w:afterAutospacing="1"/>
        <w:ind w:leftChars="514" w:left="1079"/>
        <w:jc w:val="left"/>
        <w:rPr>
          <w:rFonts w:ascii="宋体" w:eastAsia="宋体" w:hAnsi="宋体" w:cs="宋体"/>
          <w:kern w:val="0"/>
          <w:sz w:val="24"/>
          <w:szCs w:val="24"/>
        </w:rPr>
      </w:pPr>
      <w:r w:rsidRPr="00E10318">
        <w:rPr>
          <w:rFonts w:ascii="仿宋" w:eastAsia="仿宋" w:hAnsi="仿宋" w:cs="宋体" w:hint="eastAsia"/>
          <w:spacing w:val="8"/>
          <w:kern w:val="0"/>
          <w:sz w:val="24"/>
          <w:szCs w:val="24"/>
        </w:rPr>
        <w:t>注：X表示某一月份合约的双边持仓总量，单位：手。</w:t>
      </w:r>
    </w:p>
    <w:p w:rsidR="00E10318" w:rsidRPr="00E10318" w:rsidRDefault="00E10318" w:rsidP="0036532F">
      <w:pPr>
        <w:widowControl/>
        <w:spacing w:before="100" w:beforeAutospacing="1" w:afterLines="50"/>
        <w:jc w:val="center"/>
        <w:rPr>
          <w:rFonts w:ascii="宋体" w:eastAsia="宋体" w:hAnsi="宋体" w:cs="宋体"/>
          <w:kern w:val="0"/>
          <w:sz w:val="24"/>
          <w:szCs w:val="24"/>
        </w:rPr>
      </w:pPr>
      <w:r w:rsidRPr="00E10318">
        <w:rPr>
          <w:rFonts w:ascii="宋体" w:eastAsia="宋体" w:hAnsi="宋体" w:cs="宋体" w:hint="eastAsia"/>
          <w:spacing w:val="8"/>
          <w:kern w:val="0"/>
          <w:sz w:val="24"/>
          <w:szCs w:val="24"/>
        </w:rPr>
        <w:t> </w:t>
      </w:r>
    </w:p>
    <w:p w:rsidR="00E10318" w:rsidRPr="00E10318" w:rsidRDefault="00E10318" w:rsidP="0036532F">
      <w:pPr>
        <w:widowControl/>
        <w:spacing w:before="100" w:beforeAutospacing="1" w:afterLines="50"/>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表十三</w:t>
      </w:r>
      <w:r w:rsidRPr="00E10318">
        <w:rPr>
          <w:rFonts w:ascii="宋体" w:eastAsia="宋体" w:hAnsi="宋体" w:cs="宋体" w:hint="eastAsia"/>
          <w:b/>
          <w:bCs/>
          <w:spacing w:val="8"/>
          <w:kern w:val="0"/>
          <w:sz w:val="24"/>
          <w:szCs w:val="24"/>
        </w:rPr>
        <w:t> </w:t>
      </w:r>
      <w:r w:rsidRPr="00E10318">
        <w:rPr>
          <w:rFonts w:ascii="仿宋" w:eastAsia="仿宋" w:hAnsi="仿宋" w:cs="仿宋" w:hint="eastAsia"/>
          <w:b/>
          <w:bCs/>
          <w:spacing w:val="8"/>
          <w:kern w:val="0"/>
          <w:sz w:val="24"/>
          <w:szCs w:val="24"/>
        </w:rPr>
        <w:t xml:space="preserve"> </w:t>
      </w:r>
      <w:r w:rsidRPr="00E10318">
        <w:rPr>
          <w:rFonts w:ascii="仿宋" w:eastAsia="仿宋" w:hAnsi="仿宋" w:cs="宋体" w:hint="eastAsia"/>
          <w:b/>
          <w:bCs/>
          <w:spacing w:val="8"/>
          <w:kern w:val="0"/>
          <w:sz w:val="24"/>
          <w:szCs w:val="24"/>
        </w:rPr>
        <w:t>石油沥青期货合约持仓量变化时的交易保证金收取标准</w:t>
      </w:r>
    </w:p>
    <w:tbl>
      <w:tblPr>
        <w:tblW w:w="0" w:type="auto"/>
        <w:tblInd w:w="9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11"/>
        <w:gridCol w:w="2835"/>
      </w:tblGrid>
      <w:tr w:rsidR="00E10318" w:rsidRPr="00E10318" w:rsidTr="00E10318">
        <w:trPr>
          <w:trHeight w:val="832"/>
        </w:trPr>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从合约新上市挂牌之日起，</w:t>
            </w:r>
          </w:p>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当持仓总量（X）达到下列标准时</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石油沥青交易保证金比例</w:t>
            </w:r>
          </w:p>
        </w:tc>
      </w:tr>
      <w:tr w:rsidR="00E10318" w:rsidRPr="00E10318" w:rsidTr="00E10318">
        <w:trPr>
          <w:trHeight w:val="405"/>
        </w:trPr>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X≤30万</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4%</w:t>
            </w:r>
          </w:p>
        </w:tc>
      </w:tr>
      <w:tr w:rsidR="00E10318" w:rsidRPr="00E10318" w:rsidTr="00E10318">
        <w:trPr>
          <w:trHeight w:val="405"/>
        </w:trPr>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30万＜X≤50万</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6%</w:t>
            </w:r>
          </w:p>
        </w:tc>
      </w:tr>
      <w:tr w:rsidR="00E10318" w:rsidRPr="00E10318" w:rsidTr="00E10318">
        <w:trPr>
          <w:trHeight w:val="405"/>
        </w:trPr>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X＞50万</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8%</w:t>
            </w:r>
          </w:p>
        </w:tc>
      </w:tr>
    </w:tbl>
    <w:p w:rsidR="00E10318" w:rsidRPr="00E10318" w:rsidRDefault="00E10318" w:rsidP="00E10318">
      <w:pPr>
        <w:widowControl/>
        <w:spacing w:before="100" w:beforeAutospacing="1" w:after="100" w:afterAutospacing="1"/>
        <w:ind w:leftChars="514" w:left="1079"/>
        <w:jc w:val="left"/>
        <w:rPr>
          <w:rFonts w:ascii="宋体" w:eastAsia="宋体" w:hAnsi="宋体" w:cs="宋体"/>
          <w:kern w:val="0"/>
          <w:sz w:val="24"/>
          <w:szCs w:val="24"/>
        </w:rPr>
      </w:pPr>
      <w:r w:rsidRPr="00E10318">
        <w:rPr>
          <w:rFonts w:ascii="仿宋" w:eastAsia="仿宋" w:hAnsi="仿宋" w:cs="宋体" w:hint="eastAsia"/>
          <w:spacing w:val="8"/>
          <w:kern w:val="0"/>
          <w:sz w:val="24"/>
          <w:szCs w:val="24"/>
        </w:rPr>
        <w:t>注：X表示某一月份合约的双边持仓总量，单位：手。</w:t>
      </w:r>
    </w:p>
    <w:p w:rsidR="00E10318" w:rsidRPr="00E10318" w:rsidRDefault="00E10318" w:rsidP="00E10318">
      <w:pPr>
        <w:widowControl/>
        <w:spacing w:before="100" w:beforeAutospacing="1" w:after="100" w:afterAutospacing="1"/>
        <w:ind w:leftChars="514" w:left="1079"/>
        <w:jc w:val="left"/>
        <w:rPr>
          <w:rFonts w:ascii="宋体" w:eastAsia="宋体" w:hAnsi="宋体" w:cs="宋体"/>
          <w:kern w:val="0"/>
          <w:sz w:val="24"/>
          <w:szCs w:val="24"/>
        </w:rPr>
      </w:pPr>
      <w:r w:rsidRPr="00E10318">
        <w:rPr>
          <w:rFonts w:ascii="宋体" w:eastAsia="宋体" w:hAnsi="宋体" w:cs="宋体" w:hint="eastAsia"/>
          <w:spacing w:val="8"/>
          <w:kern w:val="0"/>
          <w:sz w:val="24"/>
          <w:szCs w:val="24"/>
        </w:rPr>
        <w:t>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交易过程中，当某一期货合约持仓量达到某一级持仓总量时（详见表一、二、三、四、五、六、七、八、九、十、十一、十二、十三），暂不调整交易保证金收取标准。当日结算时，若某一期货合约持仓量达到某一级持仓总量，则交易所对该合约全部持仓收取与持仓总量相对应的交易保证金，保证金不足的，应当在下一个交易日开市前追加到位。</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lastRenderedPageBreak/>
        <w:t>（二）交易所根据期货合约上市运行的不同阶段（临近交割期）调整交易保证金的方法。</w:t>
      </w:r>
    </w:p>
    <w:p w:rsidR="00E10318" w:rsidRPr="00E10318" w:rsidRDefault="00E10318" w:rsidP="0036532F">
      <w:pPr>
        <w:widowControl/>
        <w:spacing w:beforeLines="25" w:afterLines="25"/>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表十四 铜期货合约上市运行不同阶段的交易保证金收取标准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0"/>
        <w:gridCol w:w="4140"/>
      </w:tblGrid>
      <w:tr w:rsidR="00E10318" w:rsidRPr="00E10318" w:rsidTr="00E10318">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454"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铜交易保证金比例</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5%</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15%</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20%</w:t>
            </w:r>
          </w:p>
        </w:tc>
      </w:tr>
    </w:tbl>
    <w:p w:rsidR="00E10318" w:rsidRPr="00E10318" w:rsidRDefault="00E10318" w:rsidP="0036532F">
      <w:pPr>
        <w:widowControl/>
        <w:spacing w:beforeLines="25" w:afterLines="25"/>
        <w:jc w:val="center"/>
        <w:rPr>
          <w:rFonts w:ascii="宋体" w:eastAsia="宋体" w:hAnsi="宋体" w:cs="宋体"/>
          <w:kern w:val="0"/>
          <w:sz w:val="24"/>
          <w:szCs w:val="24"/>
        </w:rPr>
      </w:pPr>
      <w:r w:rsidRPr="00E10318">
        <w:rPr>
          <w:rFonts w:ascii="宋体" w:eastAsia="宋体" w:hAnsi="宋体" w:cs="宋体" w:hint="eastAsia"/>
          <w:spacing w:val="8"/>
          <w:kern w:val="0"/>
          <w:sz w:val="24"/>
          <w:szCs w:val="24"/>
        </w:rPr>
        <w:t> </w:t>
      </w:r>
    </w:p>
    <w:p w:rsidR="00E10318" w:rsidRPr="00E10318" w:rsidRDefault="00E10318" w:rsidP="0036532F">
      <w:pPr>
        <w:widowControl/>
        <w:spacing w:beforeLines="25" w:afterLines="25"/>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表十五 铝期货合约上市运行不同阶段的交易保证金收取标准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0"/>
        <w:gridCol w:w="4140"/>
      </w:tblGrid>
      <w:tr w:rsidR="00E10318" w:rsidRPr="00E10318" w:rsidTr="00E10318">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454" w:lineRule="auto"/>
              <w:jc w:val="center"/>
              <w:rPr>
                <w:rFonts w:ascii="宋体" w:eastAsia="宋体" w:hAnsi="宋体" w:cs="宋体"/>
                <w:kern w:val="0"/>
                <w:sz w:val="24"/>
                <w:szCs w:val="24"/>
              </w:rPr>
            </w:pPr>
            <w:proofErr w:type="gramStart"/>
            <w:r w:rsidRPr="00E10318">
              <w:rPr>
                <w:rFonts w:ascii="仿宋" w:eastAsia="仿宋" w:hAnsi="仿宋" w:cs="宋体" w:hint="eastAsia"/>
                <w:kern w:val="0"/>
                <w:sz w:val="24"/>
                <w:szCs w:val="24"/>
              </w:rPr>
              <w:t>铝交易</w:t>
            </w:r>
            <w:proofErr w:type="gramEnd"/>
            <w:r w:rsidRPr="00E10318">
              <w:rPr>
                <w:rFonts w:ascii="仿宋" w:eastAsia="仿宋" w:hAnsi="仿宋" w:cs="宋体" w:hint="eastAsia"/>
                <w:kern w:val="0"/>
                <w:sz w:val="24"/>
                <w:szCs w:val="24"/>
              </w:rPr>
              <w:t>保证金比例</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5%</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15%</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20%</w:t>
            </w:r>
          </w:p>
        </w:tc>
      </w:tr>
    </w:tbl>
    <w:p w:rsidR="00E10318" w:rsidRPr="00E10318" w:rsidRDefault="00E10318" w:rsidP="0036532F">
      <w:pPr>
        <w:widowControl/>
        <w:spacing w:beforeLines="50" w:afterLines="50"/>
        <w:jc w:val="center"/>
        <w:rPr>
          <w:rFonts w:ascii="宋体" w:eastAsia="宋体" w:hAnsi="宋体" w:cs="宋体"/>
          <w:kern w:val="0"/>
          <w:sz w:val="24"/>
          <w:szCs w:val="24"/>
        </w:rPr>
      </w:pPr>
      <w:r w:rsidRPr="00E10318">
        <w:rPr>
          <w:rFonts w:ascii="宋体" w:eastAsia="宋体" w:hAnsi="宋体" w:cs="宋体" w:hint="eastAsia"/>
          <w:spacing w:val="8"/>
          <w:kern w:val="0"/>
          <w:sz w:val="24"/>
          <w:szCs w:val="24"/>
        </w:rPr>
        <w:t> </w:t>
      </w:r>
    </w:p>
    <w:p w:rsidR="00E10318" w:rsidRPr="00E10318" w:rsidRDefault="00E10318" w:rsidP="0036532F">
      <w:pPr>
        <w:widowControl/>
        <w:spacing w:beforeLines="25" w:afterLines="25"/>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表十六 锌期货合约上市运行不同阶段的交易保证金收取标准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0"/>
        <w:gridCol w:w="4140"/>
      </w:tblGrid>
      <w:tr w:rsidR="00E10318" w:rsidRPr="00E10318" w:rsidTr="00E10318">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454" w:lineRule="auto"/>
              <w:jc w:val="center"/>
              <w:rPr>
                <w:rFonts w:ascii="宋体" w:eastAsia="宋体" w:hAnsi="宋体" w:cs="宋体"/>
                <w:kern w:val="0"/>
                <w:sz w:val="24"/>
                <w:szCs w:val="24"/>
              </w:rPr>
            </w:pPr>
            <w:proofErr w:type="gramStart"/>
            <w:r w:rsidRPr="00E10318">
              <w:rPr>
                <w:rFonts w:ascii="仿宋" w:eastAsia="仿宋" w:hAnsi="仿宋" w:cs="宋体" w:hint="eastAsia"/>
                <w:kern w:val="0"/>
                <w:sz w:val="24"/>
                <w:szCs w:val="24"/>
              </w:rPr>
              <w:t>锌</w:t>
            </w:r>
            <w:proofErr w:type="gramEnd"/>
            <w:r w:rsidRPr="00E10318">
              <w:rPr>
                <w:rFonts w:ascii="仿宋" w:eastAsia="仿宋" w:hAnsi="仿宋" w:cs="宋体" w:hint="eastAsia"/>
                <w:kern w:val="0"/>
                <w:sz w:val="24"/>
                <w:szCs w:val="24"/>
              </w:rPr>
              <w:t>交易保证金比例</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5%</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15%</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20%</w:t>
            </w:r>
          </w:p>
        </w:tc>
      </w:tr>
    </w:tbl>
    <w:p w:rsidR="00E10318" w:rsidRPr="00E10318" w:rsidRDefault="00E10318" w:rsidP="0036532F">
      <w:pPr>
        <w:widowControl/>
        <w:spacing w:beforeLines="25" w:afterLines="25"/>
        <w:jc w:val="center"/>
        <w:rPr>
          <w:rFonts w:ascii="宋体" w:eastAsia="宋体" w:hAnsi="宋体" w:cs="宋体"/>
          <w:kern w:val="0"/>
          <w:sz w:val="24"/>
          <w:szCs w:val="24"/>
        </w:rPr>
      </w:pPr>
      <w:r w:rsidRPr="00E10318">
        <w:rPr>
          <w:rFonts w:ascii="宋体" w:eastAsia="宋体" w:hAnsi="宋体" w:cs="宋体" w:hint="eastAsia"/>
          <w:spacing w:val="8"/>
          <w:kern w:val="0"/>
          <w:sz w:val="24"/>
          <w:szCs w:val="24"/>
        </w:rPr>
        <w:t> </w:t>
      </w:r>
    </w:p>
    <w:p w:rsidR="00E10318" w:rsidRPr="00E10318" w:rsidRDefault="00E10318" w:rsidP="0036532F">
      <w:pPr>
        <w:widowControl/>
        <w:spacing w:beforeLines="25" w:afterLines="25"/>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表十七 铅期货合约上市运行不同阶段的交易保证金收取标准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0"/>
        <w:gridCol w:w="4140"/>
      </w:tblGrid>
      <w:tr w:rsidR="00E10318" w:rsidRPr="00E10318" w:rsidTr="00E10318">
        <w:trPr>
          <w:cantSplit/>
          <w:trHeight w:hRule="exact" w:val="566"/>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566" w:lineRule="auto"/>
              <w:jc w:val="center"/>
              <w:rPr>
                <w:rFonts w:ascii="宋体" w:eastAsia="宋体" w:hAnsi="宋体" w:cs="宋体"/>
                <w:kern w:val="0"/>
                <w:sz w:val="24"/>
                <w:szCs w:val="24"/>
              </w:rPr>
            </w:pPr>
            <w:proofErr w:type="gramStart"/>
            <w:r w:rsidRPr="00E10318">
              <w:rPr>
                <w:rFonts w:ascii="仿宋" w:eastAsia="仿宋" w:hAnsi="仿宋" w:cs="宋体" w:hint="eastAsia"/>
                <w:kern w:val="0"/>
                <w:sz w:val="24"/>
                <w:szCs w:val="24"/>
              </w:rPr>
              <w:t>铅交易</w:t>
            </w:r>
            <w:proofErr w:type="gramEnd"/>
            <w:r w:rsidRPr="00E10318">
              <w:rPr>
                <w:rFonts w:ascii="仿宋" w:eastAsia="仿宋" w:hAnsi="仿宋" w:cs="宋体" w:hint="eastAsia"/>
                <w:kern w:val="0"/>
                <w:sz w:val="24"/>
                <w:szCs w:val="24"/>
              </w:rPr>
              <w:t>保证金比例</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5%</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15%</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20%</w:t>
            </w:r>
          </w:p>
        </w:tc>
      </w:tr>
    </w:tbl>
    <w:p w:rsidR="00E10318" w:rsidRPr="00E10318" w:rsidRDefault="00E10318" w:rsidP="0036532F">
      <w:pPr>
        <w:widowControl/>
        <w:spacing w:beforeLines="25" w:afterLines="25"/>
        <w:jc w:val="center"/>
        <w:rPr>
          <w:rFonts w:ascii="宋体" w:eastAsia="宋体" w:hAnsi="宋体" w:cs="宋体"/>
          <w:kern w:val="0"/>
          <w:sz w:val="24"/>
          <w:szCs w:val="24"/>
        </w:rPr>
      </w:pPr>
      <w:r w:rsidRPr="00E10318">
        <w:rPr>
          <w:rFonts w:ascii="宋体" w:eastAsia="宋体" w:hAnsi="宋体" w:cs="宋体" w:hint="eastAsia"/>
          <w:strike/>
          <w:spacing w:val="8"/>
          <w:kern w:val="0"/>
          <w:sz w:val="24"/>
          <w:szCs w:val="24"/>
        </w:rPr>
        <w:t> </w:t>
      </w:r>
    </w:p>
    <w:p w:rsidR="00E10318" w:rsidRPr="00E10318" w:rsidRDefault="00E10318" w:rsidP="0036532F">
      <w:pPr>
        <w:widowControl/>
        <w:spacing w:beforeLines="25" w:afterLines="25"/>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表十八 镍期货合约上市运行不同阶段的交易保证金收取标准</w:t>
      </w:r>
    </w:p>
    <w:tbl>
      <w:tblPr>
        <w:tblW w:w="81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60"/>
        <w:gridCol w:w="4140"/>
      </w:tblGrid>
      <w:tr w:rsidR="00E10318" w:rsidRPr="00E10318" w:rsidTr="00E10318">
        <w:trPr>
          <w:cantSplit/>
          <w:trHeight w:hRule="exact" w:val="566"/>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交易时间段</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566" w:lineRule="auto"/>
              <w:jc w:val="center"/>
              <w:rPr>
                <w:rFonts w:ascii="宋体" w:eastAsia="宋体" w:hAnsi="宋体" w:cs="宋体"/>
                <w:kern w:val="0"/>
                <w:sz w:val="24"/>
                <w:szCs w:val="24"/>
              </w:rPr>
            </w:pPr>
            <w:proofErr w:type="gramStart"/>
            <w:r w:rsidRPr="00E10318">
              <w:rPr>
                <w:rFonts w:ascii="仿宋" w:eastAsia="仿宋" w:hAnsi="仿宋" w:cs="宋体" w:hint="eastAsia"/>
                <w:kern w:val="0"/>
                <w:sz w:val="24"/>
                <w:szCs w:val="24"/>
              </w:rPr>
              <w:t>镍交易</w:t>
            </w:r>
            <w:proofErr w:type="gramEnd"/>
            <w:r w:rsidRPr="00E10318">
              <w:rPr>
                <w:rFonts w:ascii="仿宋" w:eastAsia="仿宋" w:hAnsi="仿宋" w:cs="宋体" w:hint="eastAsia"/>
                <w:kern w:val="0"/>
                <w:sz w:val="24"/>
                <w:szCs w:val="24"/>
              </w:rPr>
              <w:t>保证金比例</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lastRenderedPageBreak/>
              <w:t>合约挂牌之日起</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5%</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交割月份第一个交易日起</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15%</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20%</w:t>
            </w:r>
          </w:p>
        </w:tc>
      </w:tr>
    </w:tbl>
    <w:p w:rsidR="00E10318" w:rsidRPr="00E10318" w:rsidRDefault="00E10318" w:rsidP="0036532F">
      <w:pPr>
        <w:widowControl/>
        <w:spacing w:beforeLines="25" w:afterLines="25"/>
        <w:jc w:val="center"/>
        <w:rPr>
          <w:rFonts w:ascii="宋体" w:eastAsia="宋体" w:hAnsi="宋体" w:cs="宋体"/>
          <w:kern w:val="0"/>
          <w:sz w:val="24"/>
          <w:szCs w:val="24"/>
        </w:rPr>
      </w:pPr>
      <w:r w:rsidRPr="00E10318">
        <w:rPr>
          <w:rFonts w:ascii="宋体" w:eastAsia="宋体" w:hAnsi="宋体" w:cs="宋体" w:hint="eastAsia"/>
          <w:strike/>
          <w:spacing w:val="8"/>
          <w:kern w:val="0"/>
          <w:sz w:val="24"/>
          <w:szCs w:val="24"/>
        </w:rPr>
        <w:t> </w:t>
      </w:r>
    </w:p>
    <w:p w:rsidR="00E10318" w:rsidRPr="00E10318" w:rsidRDefault="00E10318" w:rsidP="0036532F">
      <w:pPr>
        <w:widowControl/>
        <w:spacing w:beforeLines="25" w:afterLines="25"/>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表十九 锡期货合约上市运行不同阶段的交易保证金收取标准</w:t>
      </w:r>
    </w:p>
    <w:tbl>
      <w:tblPr>
        <w:tblW w:w="81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60"/>
        <w:gridCol w:w="4140"/>
      </w:tblGrid>
      <w:tr w:rsidR="00E10318" w:rsidRPr="00E10318" w:rsidTr="00E10318">
        <w:trPr>
          <w:cantSplit/>
          <w:trHeight w:hRule="exact" w:val="566"/>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交易时间段</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566" w:lineRule="auto"/>
              <w:jc w:val="center"/>
              <w:rPr>
                <w:rFonts w:ascii="宋体" w:eastAsia="宋体" w:hAnsi="宋体" w:cs="宋体"/>
                <w:kern w:val="0"/>
                <w:sz w:val="24"/>
                <w:szCs w:val="24"/>
              </w:rPr>
            </w:pPr>
            <w:proofErr w:type="gramStart"/>
            <w:r w:rsidRPr="00E10318">
              <w:rPr>
                <w:rFonts w:ascii="仿宋" w:eastAsia="仿宋" w:hAnsi="仿宋" w:cs="宋体" w:hint="eastAsia"/>
                <w:kern w:val="0"/>
                <w:sz w:val="24"/>
                <w:szCs w:val="24"/>
              </w:rPr>
              <w:t>锡交易</w:t>
            </w:r>
            <w:proofErr w:type="gramEnd"/>
            <w:r w:rsidRPr="00E10318">
              <w:rPr>
                <w:rFonts w:ascii="仿宋" w:eastAsia="仿宋" w:hAnsi="仿宋" w:cs="宋体" w:hint="eastAsia"/>
                <w:kern w:val="0"/>
                <w:sz w:val="24"/>
                <w:szCs w:val="24"/>
              </w:rPr>
              <w:t>保证金比例</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合约挂牌之日起</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5%</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交割月份第一个交易日起</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15%</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20%</w:t>
            </w:r>
          </w:p>
        </w:tc>
      </w:tr>
    </w:tbl>
    <w:p w:rsidR="00E10318" w:rsidRPr="00E10318" w:rsidRDefault="00E10318" w:rsidP="0036532F">
      <w:pPr>
        <w:widowControl/>
        <w:spacing w:beforeLines="25" w:afterLines="25"/>
        <w:jc w:val="center"/>
        <w:rPr>
          <w:rFonts w:ascii="宋体" w:eastAsia="宋体" w:hAnsi="宋体" w:cs="宋体"/>
          <w:kern w:val="0"/>
          <w:sz w:val="24"/>
          <w:szCs w:val="24"/>
        </w:rPr>
      </w:pPr>
      <w:r w:rsidRPr="00E10318">
        <w:rPr>
          <w:rFonts w:ascii="宋体" w:eastAsia="宋体" w:hAnsi="宋体" w:cs="宋体" w:hint="eastAsia"/>
          <w:strike/>
          <w:spacing w:val="8"/>
          <w:kern w:val="0"/>
          <w:sz w:val="24"/>
          <w:szCs w:val="24"/>
        </w:rPr>
        <w:t> </w:t>
      </w:r>
    </w:p>
    <w:p w:rsidR="00E10318" w:rsidRPr="00E10318" w:rsidRDefault="00E10318" w:rsidP="0036532F">
      <w:pPr>
        <w:widowControl/>
        <w:spacing w:beforeLines="25" w:afterLines="25"/>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表二十 螺纹钢期货合约上市运行不同阶段的交易保证金收取标准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0"/>
        <w:gridCol w:w="4140"/>
      </w:tblGrid>
      <w:tr w:rsidR="00E10318" w:rsidRPr="00E10318" w:rsidTr="00E10318">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ind w:firstLineChars="600" w:firstLine="1440"/>
              <w:jc w:val="left"/>
              <w:rPr>
                <w:rFonts w:ascii="宋体" w:eastAsia="宋体" w:hAnsi="宋体" w:cs="宋体"/>
                <w:kern w:val="0"/>
                <w:sz w:val="24"/>
                <w:szCs w:val="24"/>
              </w:rPr>
            </w:pPr>
            <w:r w:rsidRPr="00E10318">
              <w:rPr>
                <w:rFonts w:ascii="仿宋" w:eastAsia="仿宋" w:hAnsi="仿宋" w:cs="宋体" w:hint="eastAsia"/>
                <w:kern w:val="0"/>
                <w:sz w:val="24"/>
                <w:szCs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454"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螺纹钢交易保证金比例</w:t>
            </w:r>
          </w:p>
        </w:tc>
      </w:tr>
      <w:tr w:rsidR="00E10318" w:rsidRPr="00E10318" w:rsidTr="00E10318">
        <w:trPr>
          <w:cantSplit/>
          <w:trHeight w:val="265"/>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5%</w:t>
            </w:r>
          </w:p>
        </w:tc>
      </w:tr>
      <w:tr w:rsidR="00E10318" w:rsidRPr="00E10318" w:rsidTr="00E10318">
        <w:trPr>
          <w:cantSplit/>
          <w:trHeight w:hRule="exact" w:val="332"/>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32"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15%</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20%</w:t>
            </w:r>
          </w:p>
        </w:tc>
      </w:tr>
    </w:tbl>
    <w:p w:rsidR="00E10318" w:rsidRPr="00E10318" w:rsidRDefault="00E10318" w:rsidP="0036532F">
      <w:pPr>
        <w:widowControl/>
        <w:spacing w:beforeLines="25" w:afterLines="25"/>
        <w:jc w:val="center"/>
        <w:rPr>
          <w:rFonts w:ascii="宋体" w:eastAsia="宋体" w:hAnsi="宋体" w:cs="宋体"/>
          <w:kern w:val="0"/>
          <w:sz w:val="24"/>
          <w:szCs w:val="24"/>
        </w:rPr>
      </w:pPr>
      <w:r w:rsidRPr="00E10318">
        <w:rPr>
          <w:rFonts w:ascii="宋体" w:eastAsia="宋体" w:hAnsi="宋体" w:cs="宋体" w:hint="eastAsia"/>
          <w:b/>
          <w:bCs/>
          <w:spacing w:val="8"/>
          <w:kern w:val="0"/>
          <w:sz w:val="24"/>
          <w:szCs w:val="24"/>
        </w:rPr>
        <w:t> </w:t>
      </w:r>
    </w:p>
    <w:p w:rsidR="00E10318" w:rsidRPr="00E10318" w:rsidRDefault="00E10318" w:rsidP="0036532F">
      <w:pPr>
        <w:widowControl/>
        <w:spacing w:beforeLines="25" w:afterLines="25"/>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表二十一 线材期货合约上市运行不同阶段的交易保证金收取标准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0"/>
        <w:gridCol w:w="4140"/>
      </w:tblGrid>
      <w:tr w:rsidR="00E10318" w:rsidRPr="00E10318" w:rsidTr="00E10318">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454"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线材交易保证金比例</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7%</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15%</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20%</w:t>
            </w:r>
          </w:p>
        </w:tc>
      </w:tr>
    </w:tbl>
    <w:p w:rsidR="00E10318" w:rsidRPr="00E10318" w:rsidRDefault="00E10318" w:rsidP="0036532F">
      <w:pPr>
        <w:widowControl/>
        <w:spacing w:beforeLines="50" w:afterLines="50"/>
        <w:jc w:val="center"/>
        <w:rPr>
          <w:rFonts w:ascii="宋体" w:eastAsia="宋体" w:hAnsi="宋体" w:cs="宋体"/>
          <w:kern w:val="0"/>
          <w:sz w:val="24"/>
          <w:szCs w:val="24"/>
        </w:rPr>
      </w:pPr>
      <w:r w:rsidRPr="00E10318">
        <w:rPr>
          <w:rFonts w:ascii="宋体" w:eastAsia="宋体" w:hAnsi="宋体" w:cs="宋体" w:hint="eastAsia"/>
          <w:spacing w:val="8"/>
          <w:kern w:val="0"/>
          <w:sz w:val="24"/>
          <w:szCs w:val="24"/>
        </w:rPr>
        <w:t> </w:t>
      </w:r>
    </w:p>
    <w:p w:rsidR="00E10318" w:rsidRPr="00E10318" w:rsidRDefault="00E10318" w:rsidP="0036532F">
      <w:pPr>
        <w:widowControl/>
        <w:spacing w:beforeLines="50" w:afterLines="50"/>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表二十二 热轧卷板期货合约上市运行不同阶段的交易保证金收取标准</w:t>
      </w:r>
    </w:p>
    <w:tbl>
      <w:tblPr>
        <w:tblW w:w="810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0"/>
        <w:gridCol w:w="4140"/>
      </w:tblGrid>
      <w:tr w:rsidR="00E10318" w:rsidRPr="00E10318" w:rsidTr="00E10318">
        <w:trPr>
          <w:cantSplit/>
          <w:trHeight w:val="533"/>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热轧卷板交易保证金比例</w:t>
            </w:r>
          </w:p>
        </w:tc>
      </w:tr>
      <w:tr w:rsidR="00E10318" w:rsidRPr="00E10318" w:rsidTr="00E10318">
        <w:trPr>
          <w:cantSplit/>
          <w:trHeight w:hRule="exact" w:val="47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47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4%</w:t>
            </w:r>
          </w:p>
        </w:tc>
      </w:tr>
      <w:tr w:rsidR="00E10318" w:rsidRPr="00E10318" w:rsidTr="00E10318">
        <w:trPr>
          <w:cantSplit/>
          <w:trHeight w:hRule="exact" w:val="557"/>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557"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r w:rsidR="00E10318" w:rsidRPr="00E10318" w:rsidTr="00E10318">
        <w:trPr>
          <w:cantSplit/>
          <w:trHeight w:hRule="exact" w:val="604"/>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604"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15%</w:t>
            </w:r>
          </w:p>
        </w:tc>
      </w:tr>
      <w:tr w:rsidR="00E10318" w:rsidRPr="00E10318" w:rsidTr="00E10318">
        <w:trPr>
          <w:cantSplit/>
          <w:trHeight w:hRule="exact" w:val="570"/>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570"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20%</w:t>
            </w:r>
          </w:p>
        </w:tc>
      </w:tr>
    </w:tbl>
    <w:p w:rsidR="00E10318" w:rsidRPr="00E10318" w:rsidRDefault="00E10318" w:rsidP="0036532F">
      <w:pPr>
        <w:widowControl/>
        <w:spacing w:beforeLines="50" w:afterLines="50"/>
        <w:jc w:val="center"/>
        <w:rPr>
          <w:rFonts w:ascii="宋体" w:eastAsia="宋体" w:hAnsi="宋体" w:cs="宋体"/>
          <w:kern w:val="0"/>
          <w:sz w:val="24"/>
          <w:szCs w:val="24"/>
        </w:rPr>
      </w:pPr>
      <w:r w:rsidRPr="00E10318">
        <w:rPr>
          <w:rFonts w:ascii="宋体" w:eastAsia="宋体" w:hAnsi="宋体" w:cs="宋体" w:hint="eastAsia"/>
          <w:spacing w:val="8"/>
          <w:kern w:val="0"/>
          <w:sz w:val="24"/>
          <w:szCs w:val="24"/>
        </w:rPr>
        <w:lastRenderedPageBreak/>
        <w:t> </w:t>
      </w:r>
    </w:p>
    <w:p w:rsidR="00E10318" w:rsidRPr="00E10318" w:rsidRDefault="00E10318" w:rsidP="0036532F">
      <w:pPr>
        <w:widowControl/>
        <w:spacing w:beforeLines="25" w:afterLines="25"/>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表二十三 黄金期货合约上市运行不同阶段的交易保证金收取标准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0"/>
        <w:gridCol w:w="4140"/>
      </w:tblGrid>
      <w:tr w:rsidR="00E10318" w:rsidRPr="00E10318" w:rsidTr="00E10318">
        <w:trPr>
          <w:cantSplit/>
          <w:trHeight w:hRule="exact" w:val="454"/>
          <w:jc w:val="center"/>
        </w:trPr>
        <w:tc>
          <w:tcPr>
            <w:tcW w:w="3960" w:type="dxa"/>
            <w:tcBorders>
              <w:top w:val="single" w:sz="8" w:space="0" w:color="auto"/>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454"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交易时间段</w:t>
            </w:r>
          </w:p>
        </w:tc>
        <w:tc>
          <w:tcPr>
            <w:tcW w:w="4140" w:type="dxa"/>
            <w:tcBorders>
              <w:top w:val="single" w:sz="8" w:space="0" w:color="auto"/>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454"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黄金交易保证金比例</w:t>
            </w:r>
          </w:p>
        </w:tc>
      </w:tr>
      <w:tr w:rsidR="00E10318" w:rsidRPr="00E10318" w:rsidTr="00E10318">
        <w:trPr>
          <w:cantSplit/>
          <w:trHeight w:hRule="exact" w:val="369"/>
          <w:jc w:val="center"/>
        </w:trPr>
        <w:tc>
          <w:tcPr>
            <w:tcW w:w="3960"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合约挂牌之日起</w:t>
            </w:r>
          </w:p>
        </w:tc>
        <w:tc>
          <w:tcPr>
            <w:tcW w:w="4140"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4%</w:t>
            </w:r>
          </w:p>
        </w:tc>
      </w:tr>
      <w:tr w:rsidR="00E10318" w:rsidRPr="00E10318" w:rsidTr="00E10318">
        <w:trPr>
          <w:cantSplit/>
          <w:trHeight w:hRule="exact" w:val="369"/>
          <w:jc w:val="center"/>
        </w:trPr>
        <w:tc>
          <w:tcPr>
            <w:tcW w:w="3960"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交割月前第一月的第一个交易日起</w:t>
            </w:r>
          </w:p>
        </w:tc>
        <w:tc>
          <w:tcPr>
            <w:tcW w:w="4140"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r w:rsidR="00E10318" w:rsidRPr="00E10318" w:rsidTr="00E10318">
        <w:trPr>
          <w:cantSplit/>
          <w:trHeight w:hRule="exact" w:val="369"/>
          <w:jc w:val="center"/>
        </w:trPr>
        <w:tc>
          <w:tcPr>
            <w:tcW w:w="3960"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交割月份的第一个交易日起</w:t>
            </w:r>
          </w:p>
        </w:tc>
        <w:tc>
          <w:tcPr>
            <w:tcW w:w="4140"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15%</w:t>
            </w:r>
          </w:p>
        </w:tc>
      </w:tr>
      <w:tr w:rsidR="00E10318" w:rsidRPr="00E10318" w:rsidTr="00E10318">
        <w:trPr>
          <w:cantSplit/>
          <w:trHeight w:hRule="exact" w:val="369"/>
          <w:jc w:val="center"/>
        </w:trPr>
        <w:tc>
          <w:tcPr>
            <w:tcW w:w="3960"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最后交易日前二个交易日起</w:t>
            </w:r>
          </w:p>
        </w:tc>
        <w:tc>
          <w:tcPr>
            <w:tcW w:w="4140"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20%</w:t>
            </w:r>
          </w:p>
        </w:tc>
      </w:tr>
    </w:tbl>
    <w:p w:rsidR="00E10318" w:rsidRPr="00E10318" w:rsidRDefault="00E10318" w:rsidP="0036532F">
      <w:pPr>
        <w:widowControl/>
        <w:spacing w:beforeLines="50" w:afterLines="50"/>
        <w:jc w:val="center"/>
        <w:rPr>
          <w:rFonts w:ascii="宋体" w:eastAsia="宋体" w:hAnsi="宋体" w:cs="宋体"/>
          <w:kern w:val="0"/>
          <w:sz w:val="24"/>
          <w:szCs w:val="24"/>
        </w:rPr>
      </w:pPr>
      <w:r w:rsidRPr="00E10318">
        <w:rPr>
          <w:rFonts w:ascii="宋体" w:eastAsia="宋体" w:hAnsi="宋体" w:cs="宋体" w:hint="eastAsia"/>
          <w:spacing w:val="8"/>
          <w:kern w:val="0"/>
          <w:sz w:val="24"/>
          <w:szCs w:val="24"/>
        </w:rPr>
        <w:t> </w:t>
      </w:r>
    </w:p>
    <w:p w:rsidR="00E10318" w:rsidRPr="00E10318" w:rsidRDefault="00E10318" w:rsidP="0036532F">
      <w:pPr>
        <w:widowControl/>
        <w:spacing w:beforeLines="25" w:afterLines="25"/>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表二十四 白银期货合约上市运行不同阶段的交易保证金收取标准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0"/>
        <w:gridCol w:w="4140"/>
      </w:tblGrid>
      <w:tr w:rsidR="00E10318" w:rsidRPr="00E10318" w:rsidTr="00E10318">
        <w:trPr>
          <w:cantSplit/>
          <w:trHeight w:hRule="exact" w:val="454"/>
          <w:jc w:val="center"/>
        </w:trPr>
        <w:tc>
          <w:tcPr>
            <w:tcW w:w="3960" w:type="dxa"/>
            <w:tcBorders>
              <w:top w:val="single" w:sz="8" w:space="0" w:color="auto"/>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454"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交易时间段</w:t>
            </w:r>
          </w:p>
        </w:tc>
        <w:tc>
          <w:tcPr>
            <w:tcW w:w="4140" w:type="dxa"/>
            <w:tcBorders>
              <w:top w:val="single" w:sz="8" w:space="0" w:color="auto"/>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454"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白银交易保证金比例</w:t>
            </w:r>
          </w:p>
        </w:tc>
      </w:tr>
      <w:tr w:rsidR="00E10318" w:rsidRPr="00E10318" w:rsidTr="00E10318">
        <w:trPr>
          <w:cantSplit/>
          <w:trHeight w:hRule="exact" w:val="369"/>
          <w:jc w:val="center"/>
        </w:trPr>
        <w:tc>
          <w:tcPr>
            <w:tcW w:w="3960"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合约挂牌之日起</w:t>
            </w:r>
          </w:p>
        </w:tc>
        <w:tc>
          <w:tcPr>
            <w:tcW w:w="4140"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4%</w:t>
            </w:r>
          </w:p>
        </w:tc>
      </w:tr>
      <w:tr w:rsidR="00E10318" w:rsidRPr="00E10318" w:rsidTr="00E10318">
        <w:trPr>
          <w:cantSplit/>
          <w:trHeight w:hRule="exact" w:val="369"/>
          <w:jc w:val="center"/>
        </w:trPr>
        <w:tc>
          <w:tcPr>
            <w:tcW w:w="3960"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交割月前第一月的第一个交易日起</w:t>
            </w:r>
          </w:p>
        </w:tc>
        <w:tc>
          <w:tcPr>
            <w:tcW w:w="4140"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r w:rsidR="00E10318" w:rsidRPr="00E10318" w:rsidTr="00E10318">
        <w:trPr>
          <w:cantSplit/>
          <w:trHeight w:hRule="exact" w:val="369"/>
          <w:jc w:val="center"/>
        </w:trPr>
        <w:tc>
          <w:tcPr>
            <w:tcW w:w="3960"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交割月份的第一个交易日起</w:t>
            </w:r>
          </w:p>
        </w:tc>
        <w:tc>
          <w:tcPr>
            <w:tcW w:w="4140"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15%</w:t>
            </w:r>
          </w:p>
        </w:tc>
      </w:tr>
      <w:tr w:rsidR="00E10318" w:rsidRPr="00E10318" w:rsidTr="00E10318">
        <w:trPr>
          <w:cantSplit/>
          <w:trHeight w:hRule="exact" w:val="369"/>
          <w:jc w:val="center"/>
        </w:trPr>
        <w:tc>
          <w:tcPr>
            <w:tcW w:w="3960"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最后交易日前二个交易日起</w:t>
            </w:r>
          </w:p>
        </w:tc>
        <w:tc>
          <w:tcPr>
            <w:tcW w:w="4140"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20%</w:t>
            </w:r>
          </w:p>
        </w:tc>
      </w:tr>
    </w:tbl>
    <w:p w:rsidR="00E10318" w:rsidRPr="00E10318" w:rsidRDefault="00E10318" w:rsidP="0036532F">
      <w:pPr>
        <w:widowControl/>
        <w:spacing w:beforeLines="50" w:afterLines="50"/>
        <w:jc w:val="center"/>
        <w:rPr>
          <w:rFonts w:ascii="宋体" w:eastAsia="宋体" w:hAnsi="宋体" w:cs="宋体"/>
          <w:kern w:val="0"/>
          <w:sz w:val="24"/>
          <w:szCs w:val="24"/>
        </w:rPr>
      </w:pPr>
      <w:r w:rsidRPr="00E10318">
        <w:rPr>
          <w:rFonts w:ascii="宋体" w:eastAsia="宋体" w:hAnsi="宋体" w:cs="宋体" w:hint="eastAsia"/>
          <w:strike/>
          <w:spacing w:val="8"/>
          <w:kern w:val="0"/>
          <w:sz w:val="24"/>
          <w:szCs w:val="24"/>
        </w:rPr>
        <w:t> </w:t>
      </w:r>
    </w:p>
    <w:p w:rsidR="00E10318" w:rsidRPr="00E10318" w:rsidRDefault="00E10318" w:rsidP="0036532F">
      <w:pPr>
        <w:widowControl/>
        <w:spacing w:beforeLines="25" w:afterLines="25"/>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表二十五 天然橡胶期货合约上市运行不同阶段的交易保证金收取标准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0"/>
        <w:gridCol w:w="4140"/>
      </w:tblGrid>
      <w:tr w:rsidR="00E10318" w:rsidRPr="00E10318" w:rsidTr="00E10318">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454"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天然橡胶交易保证金比例</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5%</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15%</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20%</w:t>
            </w:r>
          </w:p>
        </w:tc>
      </w:tr>
    </w:tbl>
    <w:p w:rsidR="00E10318" w:rsidRPr="00E10318" w:rsidRDefault="00E10318" w:rsidP="0036532F">
      <w:pPr>
        <w:widowControl/>
        <w:spacing w:beforeLines="50" w:afterLines="50"/>
        <w:jc w:val="center"/>
        <w:rPr>
          <w:rFonts w:ascii="宋体" w:eastAsia="宋体" w:hAnsi="宋体" w:cs="宋体"/>
          <w:kern w:val="0"/>
          <w:sz w:val="24"/>
          <w:szCs w:val="24"/>
        </w:rPr>
      </w:pPr>
      <w:r w:rsidRPr="00E10318">
        <w:rPr>
          <w:rFonts w:ascii="宋体" w:eastAsia="宋体" w:hAnsi="宋体" w:cs="宋体" w:hint="eastAsia"/>
          <w:b/>
          <w:bCs/>
          <w:strike/>
          <w:spacing w:val="8"/>
          <w:kern w:val="0"/>
          <w:sz w:val="24"/>
          <w:szCs w:val="24"/>
        </w:rPr>
        <w:t> </w:t>
      </w:r>
    </w:p>
    <w:p w:rsidR="00E10318" w:rsidRPr="00E10318" w:rsidRDefault="00E10318" w:rsidP="0036532F">
      <w:pPr>
        <w:widowControl/>
        <w:spacing w:beforeLines="25" w:afterLines="25"/>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表二十六 燃料油期货合约上市运行不同阶段的交易保证金收取标准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0"/>
        <w:gridCol w:w="4140"/>
      </w:tblGrid>
      <w:tr w:rsidR="00E10318" w:rsidRPr="00E10318" w:rsidTr="00E10318">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454"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燃料油交易保证金比例</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8%</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交割月前第二月的第十个交易日起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交割月前第一月的第十个交易日起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15%</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20%</w:t>
            </w:r>
          </w:p>
        </w:tc>
      </w:tr>
    </w:tbl>
    <w:p w:rsidR="00E10318" w:rsidRPr="00E10318" w:rsidRDefault="00E10318" w:rsidP="0036532F">
      <w:pPr>
        <w:widowControl/>
        <w:spacing w:beforeLines="50" w:afterLines="50"/>
        <w:jc w:val="center"/>
        <w:rPr>
          <w:rFonts w:ascii="宋体" w:eastAsia="宋体" w:hAnsi="宋体" w:cs="宋体"/>
          <w:kern w:val="0"/>
          <w:sz w:val="24"/>
          <w:szCs w:val="24"/>
        </w:rPr>
      </w:pPr>
      <w:r w:rsidRPr="00E10318">
        <w:rPr>
          <w:rFonts w:ascii="宋体" w:eastAsia="宋体" w:hAnsi="宋体" w:cs="宋体" w:hint="eastAsia"/>
          <w:b/>
          <w:bCs/>
          <w:spacing w:val="8"/>
          <w:kern w:val="0"/>
          <w:sz w:val="24"/>
          <w:szCs w:val="24"/>
          <w:shd w:val="clear" w:color="auto" w:fill="C0C0C0"/>
        </w:rPr>
        <w:t> </w:t>
      </w:r>
    </w:p>
    <w:p w:rsidR="00E10318" w:rsidRPr="00E10318" w:rsidRDefault="00E10318" w:rsidP="0036532F">
      <w:pPr>
        <w:widowControl/>
        <w:spacing w:beforeLines="25" w:afterLines="25"/>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表二十七 石油沥青期货合约上市运行不同阶段的交易保证金收取标准</w:t>
      </w:r>
    </w:p>
    <w:tbl>
      <w:tblPr>
        <w:tblW w:w="8085" w:type="dxa"/>
        <w:tblInd w:w="3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29"/>
        <w:gridCol w:w="4256"/>
      </w:tblGrid>
      <w:tr w:rsidR="00E10318" w:rsidRPr="00E10318" w:rsidTr="00E10318">
        <w:trPr>
          <w:cantSplit/>
          <w:trHeight w:val="533"/>
        </w:trPr>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交易时间段</w:t>
            </w:r>
          </w:p>
        </w:tc>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石油沥青交易保证金比例</w:t>
            </w:r>
          </w:p>
        </w:tc>
      </w:tr>
      <w:tr w:rsidR="00E10318" w:rsidRPr="00E10318" w:rsidTr="00E10318">
        <w:trPr>
          <w:cantSplit/>
          <w:trHeight w:hRule="exact" w:val="390"/>
        </w:trPr>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合约挂牌之日起</w:t>
            </w:r>
          </w:p>
        </w:tc>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390"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4%</w:t>
            </w:r>
          </w:p>
        </w:tc>
      </w:tr>
      <w:tr w:rsidR="00E10318" w:rsidRPr="00E10318" w:rsidTr="00E10318">
        <w:trPr>
          <w:cantSplit/>
          <w:trHeight w:hRule="exact" w:val="397"/>
        </w:trPr>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lastRenderedPageBreak/>
              <w:t>交割月前第一月的第一个交易日起</w:t>
            </w:r>
          </w:p>
        </w:tc>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397"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r w:rsidR="00E10318" w:rsidRPr="00E10318" w:rsidTr="00E10318">
        <w:trPr>
          <w:cantSplit/>
          <w:trHeight w:hRule="exact" w:val="397"/>
        </w:trPr>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交割月份的第一个交易日起</w:t>
            </w:r>
          </w:p>
        </w:tc>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397"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15%</w:t>
            </w:r>
          </w:p>
        </w:tc>
      </w:tr>
      <w:tr w:rsidR="00E10318" w:rsidRPr="00E10318" w:rsidTr="00E10318">
        <w:trPr>
          <w:cantSplit/>
          <w:trHeight w:hRule="exact" w:val="397"/>
        </w:trPr>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最后交易日前二个交易日起</w:t>
            </w:r>
          </w:p>
        </w:tc>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397"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20%</w:t>
            </w:r>
          </w:p>
        </w:tc>
      </w:tr>
    </w:tbl>
    <w:p w:rsidR="00E10318" w:rsidRPr="00E10318" w:rsidRDefault="00E10318" w:rsidP="00E10318">
      <w:pPr>
        <w:widowControl/>
        <w:spacing w:before="100" w:beforeAutospacing="1" w:after="100" w:afterAutospacing="1" w:line="460" w:lineRule="exact"/>
        <w:ind w:firstLineChars="200" w:firstLine="600"/>
        <w:jc w:val="left"/>
        <w:rPr>
          <w:rFonts w:ascii="宋体" w:eastAsia="宋体" w:hAnsi="宋体" w:cs="宋体"/>
          <w:kern w:val="0"/>
          <w:sz w:val="24"/>
          <w:szCs w:val="24"/>
        </w:rPr>
      </w:pPr>
      <w:r w:rsidRPr="00E10318">
        <w:rPr>
          <w:rFonts w:ascii="宋体" w:eastAsia="宋体" w:hAnsi="宋体" w:cs="宋体" w:hint="eastAsia"/>
          <w:kern w:val="0"/>
          <w:sz w:val="30"/>
          <w:szCs w:val="30"/>
        </w:rPr>
        <w:t>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当某一期货合约达到应该调整交易保证金的标准时（详见表十四、十五、十六、十七、十八、十九、二十、二十一、二十二、二十三、二十四、二十五、二十六、二十七），交易所应当在新标准执行前一交易日的结算时对该合约的所有历史持仓按新的交易保证金标准进行结算，保证金不足的，应当在下一个交易日开市前追加到位。</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在进入交割月份后，卖方可以用标准仓单作为与其所示数量相同的交割月份期货合约持仓的履约保证，其持仓对应的交易保证金不再收取。</w:t>
      </w:r>
    </w:p>
    <w:p w:rsidR="00E10318" w:rsidRPr="00E10318" w:rsidRDefault="00E10318" w:rsidP="00E10318">
      <w:pPr>
        <w:widowControl/>
        <w:spacing w:before="100" w:beforeAutospacing="1" w:after="100" w:afterAutospacing="1"/>
        <w:jc w:val="left"/>
        <w:rPr>
          <w:rFonts w:ascii="宋体" w:eastAsia="宋体" w:hAnsi="宋体" w:cs="宋体"/>
          <w:kern w:val="0"/>
          <w:sz w:val="24"/>
          <w:szCs w:val="24"/>
        </w:rPr>
      </w:pPr>
      <w:r w:rsidRPr="00E10318">
        <w:rPr>
          <w:rFonts w:ascii="宋体" w:eastAsia="宋体" w:hAnsi="宋体" w:cs="宋体" w:hint="eastAsia"/>
          <w:kern w:val="0"/>
          <w:sz w:val="24"/>
          <w:szCs w:val="24"/>
        </w:rPr>
        <w:t>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（三）某一期货合约上市运行阶段时间段的划分方法（举例说明）: 如Cu0305，其运行阶段是从2002年5月16日起至2003年5月15日止，其中: 2002年5月16日为该合约新上市挂牌之日、2003年5月15日为最后交易日、2003年5月14日为最后交易日前一个交易日，2003年5月13日为最后交易日前二个交易日，2003年5月为交</w:t>
      </w:r>
      <w:bookmarkStart w:id="2" w:name="OLE_LINK494"/>
      <w:bookmarkStart w:id="3" w:name="OLE_LINK493"/>
      <w:r w:rsidRPr="00E10318">
        <w:rPr>
          <w:rFonts w:ascii="仿宋" w:eastAsia="仿宋" w:hAnsi="仿宋" w:cs="宋体" w:hint="eastAsia"/>
          <w:color w:val="333333"/>
          <w:kern w:val="0"/>
          <w:sz w:val="32"/>
          <w:szCs w:val="32"/>
        </w:rPr>
        <w:t xml:space="preserve">割月份、2003年4月为交割月前第一月、2003年3月为交割月前第二月、2003年2月为交割月前第三月。示意图如下: </w:t>
      </w:r>
    </w:p>
    <w:p w:rsidR="00E10318" w:rsidRPr="00E10318" w:rsidRDefault="00E10318" w:rsidP="00E10318">
      <w:pPr>
        <w:widowControl/>
        <w:spacing w:before="100" w:beforeAutospacing="1" w:after="100" w:afterAutospacing="1"/>
        <w:jc w:val="left"/>
        <w:rPr>
          <w:rFonts w:ascii="宋体" w:eastAsia="宋体" w:hAnsi="宋体" w:cs="宋体"/>
          <w:kern w:val="0"/>
          <w:sz w:val="24"/>
          <w:szCs w:val="24"/>
        </w:rPr>
      </w:pPr>
      <w:r w:rsidRPr="00E10318">
        <w:rPr>
          <w:rFonts w:ascii="宋体" w:eastAsia="宋体" w:hAnsi="宋体" w:cs="宋体" w:hint="eastAsia"/>
          <w:kern w:val="0"/>
          <w:sz w:val="24"/>
          <w:szCs w:val="24"/>
        </w:rPr>
        <w:lastRenderedPageBreak/>
        <w:t> </w:t>
      </w:r>
      <w:r>
        <w:rPr>
          <w:rFonts w:ascii="仿宋" w:eastAsia="仿宋" w:hAnsi="仿宋" w:cs="宋体"/>
          <w:noProof/>
          <w:kern w:val="0"/>
          <w:sz w:val="24"/>
          <w:szCs w:val="24"/>
        </w:rPr>
        <w:drawing>
          <wp:inline distT="0" distB="0" distL="0" distR="0">
            <wp:extent cx="5915025" cy="1724025"/>
            <wp:effectExtent l="19050" t="0" r="9525" b="0"/>
            <wp:docPr id="1" name="图片 1" descr="http://www.shfe.com.cn/upload/20160715/1468552479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fe.com.cn/upload/20160715/1468552479642.png"/>
                    <pic:cNvPicPr>
                      <a:picLocks noChangeAspect="1" noChangeArrowheads="1"/>
                    </pic:cNvPicPr>
                  </pic:nvPicPr>
                  <pic:blipFill>
                    <a:blip r:embed="rId6" cstate="print"/>
                    <a:srcRect/>
                    <a:stretch>
                      <a:fillRect/>
                    </a:stretch>
                  </pic:blipFill>
                  <pic:spPr bwMode="auto">
                    <a:xfrm>
                      <a:off x="0" y="0"/>
                      <a:ext cx="5915025" cy="1724025"/>
                    </a:xfrm>
                    <a:prstGeom prst="rect">
                      <a:avLst/>
                    </a:prstGeom>
                    <a:noFill/>
                    <a:ln w="9525">
                      <a:noFill/>
                      <a:miter lim="800000"/>
                      <a:headEnd/>
                      <a:tailEnd/>
                    </a:ln>
                  </pic:spPr>
                </pic:pic>
              </a:graphicData>
            </a:graphic>
          </wp:inline>
        </w:drawing>
      </w:r>
      <w:r w:rsidRPr="00E10318">
        <w:rPr>
          <w:rFonts w:ascii="宋体" w:eastAsia="宋体" w:hAnsi="宋体" w:cs="宋体" w:hint="eastAsia"/>
          <w:kern w:val="0"/>
          <w:sz w:val="24"/>
          <w:szCs w:val="24"/>
        </w:rPr>
        <w:t> </w:t>
      </w:r>
    </w:p>
    <w:p w:rsidR="00E10318" w:rsidRPr="00E10318" w:rsidRDefault="00E10318" w:rsidP="00E10318">
      <w:pPr>
        <w:widowControl/>
        <w:spacing w:before="100" w:beforeAutospacing="1" w:after="100" w:afterAutospacing="1"/>
        <w:jc w:val="left"/>
        <w:rPr>
          <w:rFonts w:ascii="宋体" w:eastAsia="宋体" w:hAnsi="宋体" w:cs="宋体"/>
          <w:kern w:val="0"/>
          <w:sz w:val="24"/>
          <w:szCs w:val="24"/>
        </w:rPr>
      </w:pPr>
      <w:r w:rsidRPr="00E10318">
        <w:rPr>
          <w:rFonts w:ascii="宋体" w:eastAsia="宋体" w:hAnsi="宋体" w:cs="宋体" w:hint="eastAsia"/>
          <w:kern w:val="0"/>
          <w:sz w:val="24"/>
          <w:szCs w:val="24"/>
        </w:rPr>
        <w:t>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本办法有关条款时间段的划分方法参照本款执行。</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第六条 当某期货合约出现涨跌停板的情况，则该期货合约的交易保证金按第三章的有关规定执行。</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第七条 当某铜、铝、锌、螺纹钢、线材、热轧卷板期货合约连续三个交易日（即D1、D2、D3交易日）的累计涨跌幅（N）达到7.5%; 或连续四个交易日（即D1、D2、D3、D4交易日）的累计涨跌幅（N）达到9%; 或连续五个交易日（即D1、D2、D3、D4、D5 交易日）的累计涨跌幅（N）达到10.5%时，交易所可以根据市场情况，采取单边或双边、同比例或不同比例、部分会员或全部会员提高交易保证金，限制部分会员或全部会员出金，暂停部分会员或全部会员开新仓，调整涨跌停板幅度，限期平仓，强行平仓等措施中的一种或多种措施，但调整后的涨跌停板幅度不超过20%。</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当某铅、镍、锡、黄金期货合约连续三个交易日（即D1、D2、D3交易日）的累计涨跌幅（N）达到10%；或连续四个交易日（即D1、D2、D3、D4交易日）的累计涨跌幅（N）达</w:t>
      </w:r>
      <w:r w:rsidRPr="00E10318">
        <w:rPr>
          <w:rFonts w:ascii="仿宋" w:eastAsia="仿宋" w:hAnsi="仿宋" w:cs="宋体" w:hint="eastAsia"/>
          <w:kern w:val="0"/>
          <w:sz w:val="32"/>
          <w:szCs w:val="32"/>
        </w:rPr>
        <w:lastRenderedPageBreak/>
        <w:t>到12%；或连续五个交易日（即D1、D2、D3、D4、D5交易日）的累计涨跌幅（N）达到14%时，交易所可以根据市场情况，采取单边或双边、同比例或不同比例、部分会员或全部会员提高交易保证金，限制部分会员或全部会员出金，暂停部分会员或全部会员开新仓，调整涨跌停板幅度，限期平仓，强行平仓等措施中的一种或多种措施，但调整后的涨跌停板幅度不超过20%。</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当某天然橡胶、石油沥青期货合约连续三个交易日（即D1、D2、D3 交易日）的累计涨跌幅（N）达到9%; 或连续四个交易日（即D1、D2、D3、D4交易日）的累计涨跌幅（N）达到12%; 或连续五个交易日(即D1、D2、D3、D4、D5交易日）的累计涨跌幅（N）达到13.5%时，交易所可以根据市场情况，采取单边或双边、同比例或不同比例、部分会员或全部会员提高交易保证金，限制部分会员或全部会员出金，暂停部分会员或全部会员开新仓，调整涨跌停板幅度，限期平仓，强行平仓等措施中的一种或多种措施，但调整后的涨跌停板幅度不超过20%。</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当某燃料油、白银期货合约连续三个交易日（即D1、D2、D3 交易日）的累计涨跌幅（N）达到12% ; 或连续四个交易日（即D1、D2、D3、D4交易日）的累计涨跌幅（N）达到14%; 或连续五个交易日（即D1、D2、D3、D4、D5交易日）的累计涨跌幅（N）达到16%时，交易所可以根据市场情况，采取单边或双边、同比例或不同比例、部分会员或全部会员提高交易保证金，限制部分会员或全部会员出金，暂停部分会员或全部会员开新仓，调整涨跌停板幅度，限期平仓，强行平</w:t>
      </w:r>
      <w:r w:rsidRPr="00E10318">
        <w:rPr>
          <w:rFonts w:ascii="仿宋" w:eastAsia="仿宋" w:hAnsi="仿宋" w:cs="宋体" w:hint="eastAsia"/>
          <w:kern w:val="0"/>
          <w:sz w:val="32"/>
          <w:szCs w:val="32"/>
        </w:rPr>
        <w:lastRenderedPageBreak/>
        <w:t>仓等措施中的一种或多种措施，但调整后的涨跌停板幅度不超过20%。</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N 的计算公式:</w:t>
      </w:r>
    </w:p>
    <w:p w:rsidR="00E10318" w:rsidRPr="00E10318" w:rsidRDefault="00E10318" w:rsidP="00E10318">
      <w:pPr>
        <w:widowControl/>
        <w:spacing w:before="100" w:beforeAutospacing="1" w:after="100" w:afterAutospacing="1"/>
        <w:jc w:val="left"/>
        <w:rPr>
          <w:rFonts w:ascii="宋体" w:eastAsia="宋体" w:hAnsi="宋体" w:cs="宋体"/>
          <w:kern w:val="0"/>
          <w:sz w:val="24"/>
          <w:szCs w:val="24"/>
        </w:rPr>
      </w:pPr>
      <w:r w:rsidRPr="00E10318">
        <w:rPr>
          <w:rFonts w:ascii="宋体" w:eastAsia="宋体" w:hAnsi="宋体" w:cs="宋体" w:hint="eastAsia"/>
          <w:kern w:val="0"/>
          <w:sz w:val="24"/>
          <w:szCs w:val="24"/>
        </w:rPr>
        <w:t> </w:t>
      </w:r>
      <w:r>
        <w:rPr>
          <w:rFonts w:ascii="仿宋" w:eastAsia="仿宋" w:hAnsi="仿宋" w:cs="宋体"/>
          <w:noProof/>
          <w:kern w:val="0"/>
          <w:sz w:val="24"/>
          <w:szCs w:val="24"/>
        </w:rPr>
        <w:drawing>
          <wp:inline distT="0" distB="0" distL="0" distR="0">
            <wp:extent cx="4819650" cy="590550"/>
            <wp:effectExtent l="19050" t="0" r="0" b="0"/>
            <wp:docPr id="2" name="图片 2" descr="http://www.shfe.com.cn/upload/20160715/14685527146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fe.com.cn/upload/20160715/1468552714659.png"/>
                    <pic:cNvPicPr>
                      <a:picLocks noChangeAspect="1" noChangeArrowheads="1"/>
                    </pic:cNvPicPr>
                  </pic:nvPicPr>
                  <pic:blipFill>
                    <a:blip r:embed="rId7" cstate="print"/>
                    <a:srcRect/>
                    <a:stretch>
                      <a:fillRect/>
                    </a:stretch>
                  </pic:blipFill>
                  <pic:spPr bwMode="auto">
                    <a:xfrm>
                      <a:off x="0" y="0"/>
                      <a:ext cx="4819650" cy="590550"/>
                    </a:xfrm>
                    <a:prstGeom prst="rect">
                      <a:avLst/>
                    </a:prstGeom>
                    <a:noFill/>
                    <a:ln w="9525">
                      <a:noFill/>
                      <a:miter lim="800000"/>
                      <a:headEnd/>
                      <a:tailEnd/>
                    </a:ln>
                  </pic:spPr>
                </pic:pic>
              </a:graphicData>
            </a:graphic>
          </wp:inline>
        </w:drawing>
      </w:r>
    </w:p>
    <w:p w:rsidR="00E10318" w:rsidRPr="00E10318" w:rsidRDefault="00E10318" w:rsidP="00E10318">
      <w:pPr>
        <w:widowControl/>
        <w:spacing w:before="100" w:beforeAutospacing="1" w:after="100" w:afterAutospacing="1"/>
        <w:jc w:val="left"/>
        <w:rPr>
          <w:rFonts w:ascii="宋体" w:eastAsia="宋体" w:hAnsi="宋体" w:cs="宋体"/>
          <w:kern w:val="0"/>
          <w:sz w:val="24"/>
          <w:szCs w:val="24"/>
        </w:rPr>
      </w:pPr>
      <w:r w:rsidRPr="00E10318">
        <w:rPr>
          <w:rFonts w:ascii="宋体" w:eastAsia="宋体" w:hAnsi="宋体" w:cs="宋体"/>
          <w:kern w:val="0"/>
          <w:sz w:val="24"/>
          <w:szCs w:val="24"/>
        </w:rPr>
        <w:t>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宋体" w:eastAsia="宋体" w:hAnsi="宋体" w:cs="宋体" w:hint="eastAsia"/>
          <w:kern w:val="0"/>
          <w:sz w:val="32"/>
          <w:szCs w:val="32"/>
        </w:rPr>
        <w:t> </w:t>
      </w:r>
      <w:r w:rsidRPr="00E10318">
        <w:rPr>
          <w:rFonts w:ascii="仿宋" w:eastAsia="仿宋" w:hAnsi="仿宋" w:cs="宋体" w:hint="eastAsia"/>
          <w:i/>
          <w:iCs/>
          <w:kern w:val="0"/>
          <w:sz w:val="32"/>
          <w:szCs w:val="32"/>
        </w:rPr>
        <w:t>P</w:t>
      </w:r>
      <w:r w:rsidRPr="00E10318">
        <w:rPr>
          <w:rFonts w:ascii="仿宋" w:eastAsia="仿宋" w:hAnsi="仿宋" w:cs="宋体" w:hint="eastAsia"/>
          <w:kern w:val="0"/>
          <w:sz w:val="32"/>
          <w:szCs w:val="32"/>
          <w:vertAlign w:val="subscript"/>
        </w:rPr>
        <w:t xml:space="preserve">0 </w:t>
      </w:r>
      <w:r w:rsidRPr="00E10318">
        <w:rPr>
          <w:rFonts w:ascii="仿宋" w:eastAsia="仿宋" w:hAnsi="仿宋" w:cs="宋体" w:hint="eastAsia"/>
          <w:kern w:val="0"/>
          <w:sz w:val="32"/>
          <w:szCs w:val="32"/>
        </w:rPr>
        <w:t>为</w:t>
      </w:r>
      <w:r w:rsidRPr="00E10318">
        <w:rPr>
          <w:rFonts w:ascii="仿宋" w:eastAsia="仿宋" w:hAnsi="仿宋" w:cs="宋体" w:hint="eastAsia"/>
          <w:i/>
          <w:iCs/>
          <w:kern w:val="0"/>
          <w:sz w:val="32"/>
          <w:szCs w:val="32"/>
        </w:rPr>
        <w:t>D</w:t>
      </w:r>
      <w:r w:rsidRPr="00E10318">
        <w:rPr>
          <w:rFonts w:ascii="仿宋" w:eastAsia="仿宋" w:hAnsi="仿宋" w:cs="宋体" w:hint="eastAsia"/>
          <w:kern w:val="0"/>
          <w:position w:val="-6"/>
          <w:sz w:val="32"/>
          <w:szCs w:val="32"/>
          <w:vertAlign w:val="subscript"/>
        </w:rPr>
        <w:t xml:space="preserve">1 </w:t>
      </w:r>
      <w:r w:rsidRPr="00E10318">
        <w:rPr>
          <w:rFonts w:ascii="仿宋" w:eastAsia="仿宋" w:hAnsi="仿宋" w:cs="宋体" w:hint="eastAsia"/>
          <w:kern w:val="0"/>
          <w:sz w:val="32"/>
          <w:szCs w:val="32"/>
        </w:rPr>
        <w:t>交易日前一交易日结算价</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i/>
          <w:iCs/>
          <w:kern w:val="0"/>
          <w:sz w:val="32"/>
          <w:szCs w:val="32"/>
        </w:rPr>
        <w:t>P</w:t>
      </w:r>
      <w:r w:rsidRPr="00E10318">
        <w:rPr>
          <w:rFonts w:ascii="仿宋" w:eastAsia="仿宋" w:hAnsi="仿宋" w:cs="宋体" w:hint="eastAsia"/>
          <w:kern w:val="0"/>
          <w:sz w:val="32"/>
          <w:szCs w:val="32"/>
          <w:vertAlign w:val="subscript"/>
        </w:rPr>
        <w:t xml:space="preserve">t </w:t>
      </w:r>
      <w:r w:rsidRPr="00E10318">
        <w:rPr>
          <w:rFonts w:ascii="仿宋" w:eastAsia="仿宋" w:hAnsi="仿宋" w:cs="宋体" w:hint="eastAsia"/>
          <w:kern w:val="0"/>
          <w:sz w:val="32"/>
          <w:szCs w:val="32"/>
        </w:rPr>
        <w:t>为</w:t>
      </w:r>
      <w:r w:rsidRPr="00E10318">
        <w:rPr>
          <w:rFonts w:ascii="仿宋" w:eastAsia="仿宋" w:hAnsi="仿宋" w:cs="宋体" w:hint="eastAsia"/>
          <w:i/>
          <w:iCs/>
          <w:kern w:val="0"/>
          <w:sz w:val="32"/>
          <w:szCs w:val="32"/>
        </w:rPr>
        <w:t>t</w:t>
      </w:r>
      <w:r w:rsidRPr="00E10318">
        <w:rPr>
          <w:rFonts w:ascii="仿宋" w:eastAsia="仿宋" w:hAnsi="仿宋" w:cs="宋体" w:hint="eastAsia"/>
          <w:kern w:val="0"/>
          <w:sz w:val="32"/>
          <w:szCs w:val="32"/>
        </w:rPr>
        <w:t>交易日结算价，</w:t>
      </w:r>
      <w:r w:rsidRPr="00E10318">
        <w:rPr>
          <w:rFonts w:ascii="仿宋" w:eastAsia="仿宋" w:hAnsi="仿宋" w:cs="宋体" w:hint="eastAsia"/>
          <w:i/>
          <w:iCs/>
          <w:kern w:val="0"/>
          <w:sz w:val="32"/>
          <w:szCs w:val="32"/>
        </w:rPr>
        <w:t>t</w:t>
      </w:r>
      <w:r w:rsidRPr="00E10318">
        <w:rPr>
          <w:rFonts w:ascii="仿宋" w:eastAsia="仿宋" w:hAnsi="仿宋" w:cs="宋体" w:hint="eastAsia"/>
          <w:kern w:val="0"/>
          <w:sz w:val="32"/>
          <w:szCs w:val="32"/>
        </w:rPr>
        <w:t xml:space="preserve">= 3，4，5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i/>
          <w:iCs/>
          <w:kern w:val="0"/>
          <w:sz w:val="32"/>
          <w:szCs w:val="32"/>
        </w:rPr>
        <w:t>P</w:t>
      </w:r>
      <w:r w:rsidRPr="00E10318">
        <w:rPr>
          <w:rFonts w:ascii="仿宋" w:eastAsia="仿宋" w:hAnsi="仿宋" w:cs="宋体" w:hint="eastAsia"/>
          <w:kern w:val="0"/>
          <w:sz w:val="32"/>
          <w:szCs w:val="32"/>
          <w:vertAlign w:val="subscript"/>
        </w:rPr>
        <w:t xml:space="preserve">3 </w:t>
      </w:r>
      <w:r w:rsidRPr="00E10318">
        <w:rPr>
          <w:rFonts w:ascii="仿宋" w:eastAsia="仿宋" w:hAnsi="仿宋" w:cs="宋体" w:hint="eastAsia"/>
          <w:kern w:val="0"/>
          <w:sz w:val="32"/>
          <w:szCs w:val="32"/>
        </w:rPr>
        <w:t>为</w:t>
      </w:r>
      <w:r w:rsidRPr="00E10318">
        <w:rPr>
          <w:rFonts w:ascii="仿宋" w:eastAsia="仿宋" w:hAnsi="仿宋" w:cs="宋体" w:hint="eastAsia"/>
          <w:i/>
          <w:iCs/>
          <w:kern w:val="0"/>
          <w:sz w:val="32"/>
          <w:szCs w:val="32"/>
        </w:rPr>
        <w:t>D</w:t>
      </w:r>
      <w:r w:rsidRPr="00E10318">
        <w:rPr>
          <w:rFonts w:ascii="仿宋" w:eastAsia="仿宋" w:hAnsi="仿宋" w:cs="宋体" w:hint="eastAsia"/>
          <w:kern w:val="0"/>
          <w:position w:val="-6"/>
          <w:sz w:val="32"/>
          <w:szCs w:val="32"/>
          <w:vertAlign w:val="subscript"/>
        </w:rPr>
        <w:t xml:space="preserve">3 </w:t>
      </w:r>
      <w:r w:rsidRPr="00E10318">
        <w:rPr>
          <w:rFonts w:ascii="仿宋" w:eastAsia="仿宋" w:hAnsi="仿宋" w:cs="宋体" w:hint="eastAsia"/>
          <w:kern w:val="0"/>
          <w:sz w:val="32"/>
          <w:szCs w:val="32"/>
        </w:rPr>
        <w:t>交易日结算价</w:t>
      </w:r>
      <w:r w:rsidRPr="00E10318">
        <w:rPr>
          <w:rFonts w:ascii="宋体" w:eastAsia="宋体" w:hAnsi="宋体" w:cs="宋体" w:hint="eastAsia"/>
          <w:kern w:val="0"/>
          <w:sz w:val="32"/>
          <w:szCs w:val="32"/>
        </w:rPr>
        <w:t> </w:t>
      </w:r>
      <w:r w:rsidRPr="00E10318">
        <w:rPr>
          <w:rFonts w:ascii="仿宋" w:eastAsia="仿宋" w:hAnsi="仿宋" w:cs="仿宋" w:hint="eastAsia"/>
          <w:kern w:val="0"/>
          <w:sz w:val="32"/>
          <w:szCs w:val="32"/>
        </w:rPr>
        <w:t xml:space="preserve">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i/>
          <w:iCs/>
          <w:kern w:val="0"/>
          <w:sz w:val="32"/>
          <w:szCs w:val="32"/>
        </w:rPr>
        <w:t>P</w:t>
      </w:r>
      <w:r w:rsidRPr="00E10318">
        <w:rPr>
          <w:rFonts w:ascii="仿宋" w:eastAsia="仿宋" w:hAnsi="仿宋" w:cs="宋体" w:hint="eastAsia"/>
          <w:kern w:val="0"/>
          <w:sz w:val="32"/>
          <w:szCs w:val="32"/>
          <w:vertAlign w:val="subscript"/>
        </w:rPr>
        <w:t xml:space="preserve">4 </w:t>
      </w:r>
      <w:r w:rsidRPr="00E10318">
        <w:rPr>
          <w:rFonts w:ascii="仿宋" w:eastAsia="仿宋" w:hAnsi="仿宋" w:cs="宋体" w:hint="eastAsia"/>
          <w:kern w:val="0"/>
          <w:sz w:val="32"/>
          <w:szCs w:val="32"/>
        </w:rPr>
        <w:t>为</w:t>
      </w:r>
      <w:r w:rsidRPr="00E10318">
        <w:rPr>
          <w:rFonts w:ascii="仿宋" w:eastAsia="仿宋" w:hAnsi="仿宋" w:cs="宋体" w:hint="eastAsia"/>
          <w:i/>
          <w:iCs/>
          <w:kern w:val="0"/>
          <w:sz w:val="32"/>
          <w:szCs w:val="32"/>
        </w:rPr>
        <w:t>D</w:t>
      </w:r>
      <w:r w:rsidRPr="00E10318">
        <w:rPr>
          <w:rFonts w:ascii="仿宋" w:eastAsia="仿宋" w:hAnsi="仿宋" w:cs="宋体" w:hint="eastAsia"/>
          <w:kern w:val="0"/>
          <w:position w:val="-6"/>
          <w:sz w:val="32"/>
          <w:szCs w:val="32"/>
          <w:vertAlign w:val="subscript"/>
        </w:rPr>
        <w:t xml:space="preserve">4 </w:t>
      </w:r>
      <w:r w:rsidRPr="00E10318">
        <w:rPr>
          <w:rFonts w:ascii="仿宋" w:eastAsia="仿宋" w:hAnsi="仿宋" w:cs="宋体" w:hint="eastAsia"/>
          <w:kern w:val="0"/>
          <w:sz w:val="32"/>
          <w:szCs w:val="32"/>
        </w:rPr>
        <w:t>交易日结算价</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i/>
          <w:iCs/>
          <w:kern w:val="0"/>
          <w:sz w:val="32"/>
          <w:szCs w:val="32"/>
        </w:rPr>
        <w:t>P</w:t>
      </w:r>
      <w:r w:rsidRPr="00E10318">
        <w:rPr>
          <w:rFonts w:ascii="仿宋" w:eastAsia="仿宋" w:hAnsi="仿宋" w:cs="宋体" w:hint="eastAsia"/>
          <w:kern w:val="0"/>
          <w:sz w:val="32"/>
          <w:szCs w:val="32"/>
          <w:vertAlign w:val="subscript"/>
        </w:rPr>
        <w:t xml:space="preserve">5 </w:t>
      </w:r>
      <w:r w:rsidRPr="00E10318">
        <w:rPr>
          <w:rFonts w:ascii="仿宋" w:eastAsia="仿宋" w:hAnsi="仿宋" w:cs="宋体" w:hint="eastAsia"/>
          <w:kern w:val="0"/>
          <w:sz w:val="32"/>
          <w:szCs w:val="32"/>
        </w:rPr>
        <w:t>为</w:t>
      </w:r>
      <w:r w:rsidRPr="00E10318">
        <w:rPr>
          <w:rFonts w:ascii="仿宋" w:eastAsia="仿宋" w:hAnsi="仿宋" w:cs="宋体" w:hint="eastAsia"/>
          <w:i/>
          <w:iCs/>
          <w:kern w:val="0"/>
          <w:sz w:val="32"/>
          <w:szCs w:val="32"/>
        </w:rPr>
        <w:t>D</w:t>
      </w:r>
      <w:r w:rsidRPr="00E10318">
        <w:rPr>
          <w:rFonts w:ascii="仿宋" w:eastAsia="仿宋" w:hAnsi="仿宋" w:cs="宋体" w:hint="eastAsia"/>
          <w:kern w:val="0"/>
          <w:position w:val="-6"/>
          <w:sz w:val="32"/>
          <w:szCs w:val="32"/>
          <w:vertAlign w:val="subscript"/>
        </w:rPr>
        <w:t>5</w:t>
      </w:r>
      <w:r w:rsidRPr="00E10318">
        <w:rPr>
          <w:rFonts w:ascii="仿宋" w:eastAsia="仿宋" w:hAnsi="仿宋" w:cs="宋体" w:hint="eastAsia"/>
          <w:kern w:val="0"/>
          <w:sz w:val="32"/>
          <w:szCs w:val="32"/>
        </w:rPr>
        <w:t>交易日结算价</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交易所采取本条规定措施的，应当事先报告中国证监会。</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第八条 对同时适用本办法规定的两种或两种以上交易保证金比例的，其交易保证金按照规定交易保证金比例中的最高值收取。</w:t>
      </w:r>
    </w:p>
    <w:p w:rsidR="00E10318" w:rsidRPr="00E10318" w:rsidRDefault="00E10318" w:rsidP="00E10318">
      <w:pPr>
        <w:widowControl/>
        <w:spacing w:before="100" w:beforeAutospacing="1" w:after="100" w:afterAutospacing="1"/>
        <w:jc w:val="left"/>
        <w:rPr>
          <w:rFonts w:ascii="宋体" w:eastAsia="宋体" w:hAnsi="宋体" w:cs="宋体"/>
          <w:kern w:val="0"/>
          <w:sz w:val="24"/>
          <w:szCs w:val="24"/>
        </w:rPr>
      </w:pPr>
      <w:r w:rsidRPr="00E10318">
        <w:rPr>
          <w:rFonts w:ascii="宋体" w:eastAsia="宋体" w:hAnsi="宋体" w:cs="宋体" w:hint="eastAsia"/>
          <w:kern w:val="0"/>
          <w:sz w:val="24"/>
          <w:szCs w:val="24"/>
        </w:rPr>
        <w:t> </w:t>
      </w:r>
    </w:p>
    <w:p w:rsidR="00E10318" w:rsidRPr="00E10318" w:rsidRDefault="00E10318" w:rsidP="00E10318">
      <w:pPr>
        <w:widowControl/>
        <w:adjustRightInd w:val="0"/>
        <w:spacing w:before="100" w:beforeAutospacing="1" w:after="100" w:afterAutospacing="1" w:line="520" w:lineRule="exact"/>
        <w:jc w:val="center"/>
        <w:rPr>
          <w:rFonts w:ascii="宋体" w:eastAsia="宋体" w:hAnsi="宋体" w:cs="宋体"/>
          <w:kern w:val="0"/>
          <w:sz w:val="24"/>
          <w:szCs w:val="24"/>
        </w:rPr>
      </w:pPr>
      <w:r w:rsidRPr="00E10318">
        <w:rPr>
          <w:rFonts w:ascii="仿宋" w:eastAsia="仿宋" w:hAnsi="仿宋" w:cs="宋体" w:hint="eastAsia"/>
          <w:b/>
          <w:bCs/>
          <w:kern w:val="0"/>
          <w:sz w:val="32"/>
          <w:szCs w:val="32"/>
        </w:rPr>
        <w:t>第三章 涨跌停板制度</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第九条 交易所实行价格涨跌停板制度，由交易所制定各上市期货合约的每日最大价格波动幅度。</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lastRenderedPageBreak/>
        <w:t>在某一期货合约的交易过程中，当出现下列情况时，交易所可以根据市场风险调整其涨跌停板幅度:</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（一）期货合约价格出现同方向连续涨跌停板时;</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（二）遇国家法定长假时;</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（三）交易所认为市场风险明显变化时;</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（四）交易所认为必要的其他情况。</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交易所根据市场情况决定调整涨跌停板幅度的，应当公告，并报告中国证监会。</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对同时适用本办法规定的两种或两种以上涨跌停板的，其涨跌停板按照规定涨跌停板中的最高值确定。</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第十条 当某期货合约以涨跌停板价格成交时，成交撮合实行平仓优先和时间优先的原则，但平当日新开</w:t>
      </w:r>
      <w:proofErr w:type="gramStart"/>
      <w:r w:rsidRPr="00E10318">
        <w:rPr>
          <w:rFonts w:ascii="仿宋" w:eastAsia="仿宋" w:hAnsi="仿宋" w:cs="宋体" w:hint="eastAsia"/>
          <w:kern w:val="0"/>
          <w:sz w:val="32"/>
          <w:szCs w:val="32"/>
        </w:rPr>
        <w:t>仓位</w:t>
      </w:r>
      <w:proofErr w:type="gramEnd"/>
      <w:r w:rsidRPr="00E10318">
        <w:rPr>
          <w:rFonts w:ascii="仿宋" w:eastAsia="仿宋" w:hAnsi="仿宋" w:cs="宋体" w:hint="eastAsia"/>
          <w:kern w:val="0"/>
          <w:sz w:val="32"/>
          <w:szCs w:val="32"/>
        </w:rPr>
        <w:t>不适用平仓优先的原则。</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第十一条 涨（跌）停板单边无连续报价（以下简称单边市）是指某一期货合约在某一交易日收盘前5分钟内出现只有停板价位的买入（卖出）申报、没有停板价位的卖出（买入）申报，或者一有卖出（买入）申报就成交、但未打开停板价位的情况。连续的两个交易日出现同一方向的涨（跌）停板单边无连续报价情况，称为同方向单边市; 在出现单边市之后的下一个交易日出现反方向的涨（跌）停板单边无连续报价情况，则称为反方向单边市。</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lastRenderedPageBreak/>
        <w:t>第十二条 当某期货合约在某一交易日（该交易日称为D1交易日，以下几个交易日分别称为D2、D3、D4、D5、D6交易日，D0交易日为D1交易日前一交易日）出现单边市，则该期货合约D2交易日涨跌停板幅度按下述方法调整：铜、铝、锌、铅、镍、锡、螺纹钢、线材、热轧卷板、黄金、白银、天然橡胶、燃料油和石油沥青期货合约的涨跌停板幅度为在D1交易日涨跌停板幅度的基础上增加3个百分点。D1交易日结算时，该期货合约交易保证金比例按下述方法调整：铜、铝、锌、铅、镍、锡、螺纹钢、线材、热轧卷板、黄金、白银、天然橡胶、燃料油和石油沥青期货合约的交易保证金比例为在D2交易日涨跌停板幅度的基础上增加2个百分点。如果该期货合约调整后的交易保证金比例低于D0交易日结算时的交易保证金比例，则按D0交易日结算时该期货合约交易保证金比例收取。</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若D1交易日为该期货合约上市挂盘后第一个交易日，则该期货合约上市挂盘当日交易保证金比例视为该期货合约D0交易日结算时的交易保证金比例。</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 xml:space="preserve">第十三条 该期货合约若D2交易日未出现单边市，则D3交易日涨跌停板、交易保证金比例恢复到正常水平。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 xml:space="preserve">若D2交易日出现反方向单边市，则视作新一轮单边市开始，该日即视为D1交易日，下一日交易保证金和涨跌停板参照本办法第十二条规定执行。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若D2交易日出现同方向单边市，则该期货合约D3交易日涨跌停板幅度按下述方法调整：铜、铝、锌、铅、镍、锡、</w:t>
      </w:r>
      <w:r w:rsidRPr="00E10318">
        <w:rPr>
          <w:rFonts w:ascii="仿宋" w:eastAsia="仿宋" w:hAnsi="仿宋" w:cs="宋体" w:hint="eastAsia"/>
          <w:kern w:val="0"/>
          <w:sz w:val="32"/>
          <w:szCs w:val="32"/>
        </w:rPr>
        <w:lastRenderedPageBreak/>
        <w:t>螺纹钢、线材、热轧卷板、黄金、天然橡胶、燃料油和石油沥青期货合约的涨跌停板幅度为在D1交易日涨跌停板幅度的基础上增加5个百分点，白银期货合约的涨跌停板幅度为在D1交易日涨跌停板幅度的基础上增加6个百分点。D2交易日结算时，该期货合约交易保证金比例按下述方法调整：铜、铝、锌、铅、镍、锡、螺纹钢、线材、热轧卷板、黄金、天然橡胶、燃料油和石油沥青期货合约的交易保证金比例为在D3交易日涨跌停板幅度上增加2个百分点，白银期货合约的交易保证金比例为在D3交易日涨跌停板幅度上增加3个百分点。如果该期货合约调整后的交易保证金比例低于D0交易日结算时交易保证金比例，则按D0交易日结算时该期货合约的交易保证金比例收取。</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 xml:space="preserve">第十四条 若D3交易日未出现单边市，则D4交易日涨跌停板、交易保证金比例恢复到正常水平。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 xml:space="preserve">若D3交易日出现反方向单边市，则视作新一轮单边市开始，该日即视为D1交易日，下一日交易保证金和涨跌停板参照本办法第十二条规定执行。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若D3交易日期货合约出现同方向单边市（即连续三天达到涨跌停板），则当日收盘结算时，该铜、铝、锌、铅、镍、锡、螺纹钢、线材、热轧卷板、黄金、白银、天然橡胶、燃料油和石油沥青期货合约的交易保证金仍按照D2交易日结算时的交易保证金比例收取，并且交易所可以对部分或全部会员暂停出金。</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lastRenderedPageBreak/>
        <w:t>当D3交易日期货合约出现同方向单边市（即连续三天达到涨跌停板）时，若D3交易日是该合约的最后交易日，则该合约直接进入交割；若D4交易日是该合约的最后交易日，则D4交易日该合约按D3交易日的涨跌停板和保证金水平继续交易；除上述两种情况之外，D4交易日该期货合约暂停交易一天。交易所在D4交易</w:t>
      </w:r>
      <w:proofErr w:type="gramStart"/>
      <w:r w:rsidRPr="00E10318">
        <w:rPr>
          <w:rFonts w:ascii="仿宋" w:eastAsia="仿宋" w:hAnsi="仿宋" w:cs="宋体" w:hint="eastAsia"/>
          <w:kern w:val="0"/>
          <w:sz w:val="32"/>
          <w:szCs w:val="32"/>
        </w:rPr>
        <w:t>日根据</w:t>
      </w:r>
      <w:proofErr w:type="gramEnd"/>
      <w:r w:rsidRPr="00E10318">
        <w:rPr>
          <w:rFonts w:ascii="仿宋" w:eastAsia="仿宋" w:hAnsi="仿宋" w:cs="宋体" w:hint="eastAsia"/>
          <w:kern w:val="0"/>
          <w:sz w:val="32"/>
          <w:szCs w:val="32"/>
        </w:rPr>
        <w:t>市场情况决定对该期货合约实施下列两种措施中的任意一种：</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措施</w:t>
      </w:r>
      <w:proofErr w:type="gramStart"/>
      <w:r w:rsidRPr="00E10318">
        <w:rPr>
          <w:rFonts w:ascii="仿宋" w:eastAsia="仿宋" w:hAnsi="仿宋" w:cs="宋体" w:hint="eastAsia"/>
          <w:kern w:val="0"/>
          <w:sz w:val="32"/>
          <w:szCs w:val="32"/>
        </w:rPr>
        <w:t>一</w:t>
      </w:r>
      <w:proofErr w:type="gramEnd"/>
      <w:r w:rsidRPr="00E10318">
        <w:rPr>
          <w:rFonts w:ascii="仿宋" w:eastAsia="仿宋" w:hAnsi="仿宋" w:cs="宋体" w:hint="eastAsia"/>
          <w:kern w:val="0"/>
          <w:sz w:val="32"/>
          <w:szCs w:val="32"/>
        </w:rPr>
        <w:t>：D4交易日，交易所决定并公告在D5交易日采取单边或双边、同比例或不同比例、部分会员或全部会员提高交易保证金，暂停部分会员或全部会员开新仓，调整涨跌停板幅度，限制出金，限期平仓，强行平仓等措施中的一种或多种化解市场风险，但调整后的涨跌停板幅度不超过20%。在交易所宣布调整保证金水平之后，保证金不足者应当在D5交易日开市前追加到位。若D5交易日该期货合约的涨跌幅度未达到当日涨跌停板，则D6交易日该期货合约的涨跌停板和交易保证金比例均恢复正常水平；若D5交易日该期货合约的涨跌幅度与D3交易日同方向再达到当日涨跌停板，则交易所宣布为异常情况，并按有关规定采取风险控制措施；若D5交易日该期货合约的涨跌幅度与D3交易日反方向达到当日涨跌停板，则视作新一轮单边市开始，该日即视为D1交易日，下一日交易保证金和涨跌停板参照本办法第十二条规定执行。</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措施二：在D4交易日结算时，交易所将D3交易日闭市时以涨跌停板价申报的未成交平仓报单，以D3交易日的涨跌停板价，与该合约净持仓盈利客户（或非期货公司会员，</w:t>
      </w:r>
      <w:r w:rsidRPr="00E10318">
        <w:rPr>
          <w:rFonts w:ascii="仿宋" w:eastAsia="仿宋" w:hAnsi="仿宋" w:cs="宋体" w:hint="eastAsia"/>
          <w:kern w:val="0"/>
          <w:sz w:val="32"/>
          <w:szCs w:val="32"/>
        </w:rPr>
        <w:lastRenderedPageBreak/>
        <w:t>下同）按持仓比例自动撮合成交。同一</w:t>
      </w:r>
      <w:r w:rsidRPr="00E10318">
        <w:rPr>
          <w:rFonts w:ascii="仿宋" w:eastAsia="仿宋" w:hAnsi="仿宋" w:cs="宋体" w:hint="eastAsia"/>
          <w:bCs/>
          <w:kern w:val="0"/>
          <w:sz w:val="32"/>
          <w:szCs w:val="21"/>
        </w:rPr>
        <w:t>客户持有双向头寸，则首先平自己的头寸，再按上述方法平仓。具体操作方法如下：</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（一）申报平仓数量的确定</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在D3交易日收市后，已在计算机系统中以涨跌停板价申报无法成交的，且</w:t>
      </w:r>
      <w:r w:rsidRPr="00E10318">
        <w:rPr>
          <w:rFonts w:ascii="仿宋" w:eastAsia="仿宋" w:hAnsi="仿宋" w:cs="宋体" w:hint="eastAsia"/>
          <w:bCs/>
          <w:kern w:val="0"/>
          <w:sz w:val="32"/>
          <w:szCs w:val="21"/>
        </w:rPr>
        <w:t>客户该</w:t>
      </w:r>
      <w:r w:rsidRPr="00E10318">
        <w:rPr>
          <w:rFonts w:ascii="仿宋" w:eastAsia="仿宋" w:hAnsi="仿宋" w:cs="宋体" w:hint="eastAsia"/>
          <w:kern w:val="0"/>
          <w:sz w:val="32"/>
          <w:szCs w:val="32"/>
        </w:rPr>
        <w:t>合约的单位净持仓亏损大于或等于D3交易日结算价6%（天然橡胶、燃料油和石油沥青为8%）的所有申报平仓数量的总和为平仓数量。若</w:t>
      </w:r>
      <w:r w:rsidRPr="00E10318">
        <w:rPr>
          <w:rFonts w:ascii="仿宋" w:eastAsia="仿宋" w:hAnsi="仿宋" w:cs="宋体" w:hint="eastAsia"/>
          <w:bCs/>
          <w:kern w:val="0"/>
          <w:sz w:val="32"/>
          <w:szCs w:val="21"/>
        </w:rPr>
        <w:t>客户不愿按上述方法平仓可以在收市前撤单，则已撤报单不再作为申报的平仓报单。</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（二）</w:t>
      </w:r>
      <w:r w:rsidRPr="00E10318">
        <w:rPr>
          <w:rFonts w:ascii="仿宋" w:eastAsia="仿宋" w:hAnsi="仿宋" w:cs="宋体" w:hint="eastAsia"/>
          <w:bCs/>
          <w:kern w:val="0"/>
          <w:sz w:val="32"/>
          <w:szCs w:val="21"/>
        </w:rPr>
        <w:t>客户</w:t>
      </w:r>
      <w:r w:rsidRPr="00E10318">
        <w:rPr>
          <w:rFonts w:ascii="仿宋" w:eastAsia="仿宋" w:hAnsi="仿宋" w:cs="宋体" w:hint="eastAsia"/>
          <w:kern w:val="0"/>
          <w:sz w:val="32"/>
          <w:szCs w:val="32"/>
        </w:rPr>
        <w:t>单位净持仓盈亏的计算方法</w:t>
      </w:r>
    </w:p>
    <w:p w:rsidR="00E10318" w:rsidRPr="00E10318" w:rsidRDefault="00E10318" w:rsidP="00E10318">
      <w:pPr>
        <w:widowControl/>
        <w:spacing w:before="100" w:beforeAutospacing="1" w:after="100" w:afterAutospacing="1"/>
        <w:ind w:firstLineChars="1600" w:firstLine="3840"/>
        <w:jc w:val="left"/>
        <w:rPr>
          <w:rFonts w:ascii="宋体" w:eastAsia="宋体" w:hAnsi="宋体" w:cs="宋体"/>
          <w:kern w:val="0"/>
          <w:sz w:val="24"/>
          <w:szCs w:val="24"/>
        </w:rPr>
      </w:pPr>
      <w:r w:rsidRPr="00E10318">
        <w:rPr>
          <w:rFonts w:ascii="仿宋" w:eastAsia="仿宋" w:hAnsi="仿宋" w:cs="宋体" w:hint="eastAsia"/>
          <w:bCs/>
          <w:kern w:val="0"/>
          <w:sz w:val="24"/>
          <w:szCs w:val="21"/>
        </w:rPr>
        <w:t>客户该合约净持仓盈亏的总和（元）</w:t>
      </w:r>
    </w:p>
    <w:p w:rsidR="00E10318" w:rsidRPr="00E10318" w:rsidRDefault="00E10318" w:rsidP="00E10318">
      <w:pPr>
        <w:widowControl/>
        <w:spacing w:before="100" w:beforeAutospacing="1" w:after="100" w:afterAutospacing="1"/>
        <w:jc w:val="left"/>
        <w:rPr>
          <w:rFonts w:ascii="宋体" w:eastAsia="宋体" w:hAnsi="宋体" w:cs="宋体"/>
          <w:kern w:val="0"/>
          <w:sz w:val="24"/>
          <w:szCs w:val="24"/>
        </w:rPr>
      </w:pPr>
      <w:r w:rsidRPr="00E10318">
        <w:rPr>
          <w:rFonts w:ascii="仿宋" w:eastAsia="仿宋" w:hAnsi="仿宋" w:cs="宋体" w:hint="eastAsia"/>
          <w:bCs/>
          <w:kern w:val="0"/>
          <w:sz w:val="24"/>
          <w:szCs w:val="21"/>
        </w:rPr>
        <w:t xml:space="preserve">客户该合约单位净持仓盈亏 = </w:t>
      </w:r>
      <w:r w:rsidRPr="00E10318">
        <w:rPr>
          <w:rFonts w:ascii="宋体" w:eastAsia="宋体" w:hAnsi="宋体" w:cs="宋体" w:hint="eastAsia"/>
          <w:bCs/>
          <w:strike/>
          <w:kern w:val="0"/>
          <w:sz w:val="24"/>
          <w:szCs w:val="21"/>
        </w:rPr>
        <w:t>                                        </w:t>
      </w:r>
    </w:p>
    <w:p w:rsidR="00E10318" w:rsidRPr="00E10318" w:rsidRDefault="00E10318" w:rsidP="00E10318">
      <w:pPr>
        <w:widowControl/>
        <w:spacing w:before="100" w:beforeAutospacing="1" w:after="100" w:afterAutospacing="1"/>
        <w:ind w:firstLineChars="1600" w:firstLine="3840"/>
        <w:jc w:val="left"/>
        <w:rPr>
          <w:rFonts w:ascii="宋体" w:eastAsia="宋体" w:hAnsi="宋体" w:cs="宋体"/>
          <w:kern w:val="0"/>
          <w:sz w:val="24"/>
          <w:szCs w:val="24"/>
        </w:rPr>
      </w:pPr>
      <w:r w:rsidRPr="00E10318">
        <w:rPr>
          <w:rFonts w:ascii="仿宋" w:eastAsia="仿宋" w:hAnsi="仿宋" w:cs="宋体" w:hint="eastAsia"/>
          <w:bCs/>
          <w:kern w:val="0"/>
          <w:sz w:val="24"/>
          <w:szCs w:val="21"/>
        </w:rPr>
        <w:t>客户该合约的净持仓量（重量单位）</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上式中铜、铝、锌、铅、镍、锡、螺纹钢、线材、热轧卷板、天然橡胶、燃料油和石油沥青的重量单位为吨，白银的重量单位为千克，黄金的重量单位为克。</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bCs/>
          <w:kern w:val="0"/>
          <w:sz w:val="32"/>
          <w:szCs w:val="21"/>
        </w:rPr>
        <w:t>客户该合约净持仓盈亏的总和，是指在客户该合约的历史成交库中从当日向前找出累计符合当日净持仓数的开仓合约的实际成交价与当日结算价之差的总和。</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（三）持仓盈利</w:t>
      </w:r>
      <w:r w:rsidRPr="00E10318">
        <w:rPr>
          <w:rFonts w:ascii="仿宋" w:eastAsia="仿宋" w:hAnsi="仿宋" w:cs="宋体" w:hint="eastAsia"/>
          <w:bCs/>
          <w:kern w:val="0"/>
          <w:sz w:val="32"/>
          <w:szCs w:val="21"/>
        </w:rPr>
        <w:t>客户平仓范围的确定</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lastRenderedPageBreak/>
        <w:t>根据上述方法计算的</w:t>
      </w:r>
      <w:r w:rsidRPr="00E10318">
        <w:rPr>
          <w:rFonts w:ascii="仿宋" w:eastAsia="仿宋" w:hAnsi="仿宋" w:cs="宋体" w:hint="eastAsia"/>
          <w:bCs/>
          <w:kern w:val="0"/>
          <w:sz w:val="32"/>
          <w:szCs w:val="21"/>
        </w:rPr>
        <w:t>客户单位净持仓盈利的投机头寸以及客户单位净持仓盈利大于或等于</w:t>
      </w:r>
      <w:r w:rsidRPr="00E10318">
        <w:rPr>
          <w:rFonts w:ascii="仿宋" w:eastAsia="仿宋" w:hAnsi="仿宋" w:cs="宋体" w:hint="eastAsia"/>
          <w:kern w:val="0"/>
          <w:sz w:val="32"/>
          <w:szCs w:val="32"/>
        </w:rPr>
        <w:t>D3交易日结算价6%（天然橡胶、燃料油和石油沥青为8%）的保值头寸都列入平仓范围。</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（四）平仓数量的分配原则及方法</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1、平仓数量的分配原则</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（1）在平仓范围内按盈利的大小和投机与保值的不同分成四级，逐级进行分配。</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首先分配给属平仓范围内单位净持仓盈利大于或等于D3交易日结算价6%（天然橡胶、燃料油和石油沥青为8%）的投机头寸（以下铜、铝、锌、铅、镍、锡、螺纹钢、线材、热轧卷板、黄金、白银简称盈利6%以上的投机头寸，天然橡胶、燃料油和石油沥青简称盈利8%以上的投机头寸）；</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其次分配给单位净持仓盈利大于或等于D3交易日结算价3%（天然橡胶、燃料油和石油沥青为4%），小于6%（天然橡胶、燃料油和石油沥青为8%）的投机头寸（以下铜、铝、锌、铅、</w:t>
      </w:r>
      <w:bookmarkStart w:id="4" w:name="OLE_LINK363"/>
      <w:r w:rsidRPr="00E10318">
        <w:rPr>
          <w:rFonts w:ascii="仿宋" w:eastAsia="仿宋" w:hAnsi="仿宋" w:cs="宋体" w:hint="eastAsia"/>
          <w:color w:val="333333"/>
          <w:kern w:val="0"/>
          <w:sz w:val="32"/>
          <w:szCs w:val="32"/>
        </w:rPr>
        <w:t>镍、锡、</w:t>
      </w:r>
      <w:r w:rsidRPr="00E10318">
        <w:rPr>
          <w:rFonts w:ascii="仿宋" w:eastAsia="仿宋" w:hAnsi="仿宋" w:cs="宋体" w:hint="eastAsia"/>
          <w:kern w:val="0"/>
          <w:sz w:val="32"/>
          <w:szCs w:val="32"/>
        </w:rPr>
        <w:t>螺纹钢、线材、热轧卷板、黄金、白银简称盈利3%以上的投机头寸，天然橡胶、燃料油和石油沥青简称盈利4%以上的投机头寸）；</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再次分配给单位净持仓盈利小于D3交易日结算价3%（天然橡胶、燃料油和石油沥青为4%）的投机头寸（以下铜、铝、锌、铅、镍、锡、螺纹钢、线材、热轧卷板、黄金、白银简</w:t>
      </w:r>
      <w:r w:rsidRPr="00E10318">
        <w:rPr>
          <w:rFonts w:ascii="仿宋" w:eastAsia="仿宋" w:hAnsi="仿宋" w:cs="宋体" w:hint="eastAsia"/>
          <w:kern w:val="0"/>
          <w:sz w:val="32"/>
          <w:szCs w:val="32"/>
        </w:rPr>
        <w:lastRenderedPageBreak/>
        <w:t>称盈利3%以下的投机头寸，天然橡胶、燃料油和石油沥青简称盈利4%以下的投机头寸）；</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最后分配给单位净持仓盈利大于或等于D3交易日结算价6%（天然橡胶、燃料油和石油沥青为8%）的保值头寸（以下铜、铝、锌、铅、镍、锡、螺纹钢、线材、热轧卷板、黄金、白银简称盈利6%以上的保值头寸，天然橡胶、燃料油和石油沥青简称盈利8%以上的保值头寸）。</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（2）以上各级分配比例均按申报平仓数量（剩余申报平仓数量）与各级可平仓的盈利头寸数量之比进行分配。</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2、平仓数量的分配方法及步骤（见附件）</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（1）铜、铝、锌、铅、镍、锡、螺纹钢、线材、热轧卷板、黄金、白银品种平仓数量的分配方法及步骤</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若盈利6%以上的投机头寸数量大于或等于申报平仓数量，则根据申报平仓数量与盈利6%以上的投机头寸数量的比例，将申报平仓数量向盈利6%以上的投机</w:t>
      </w:r>
      <w:r w:rsidRPr="00E10318">
        <w:rPr>
          <w:rFonts w:ascii="仿宋" w:eastAsia="仿宋" w:hAnsi="仿宋" w:cs="宋体" w:hint="eastAsia"/>
          <w:bCs/>
          <w:kern w:val="0"/>
          <w:sz w:val="32"/>
          <w:szCs w:val="21"/>
        </w:rPr>
        <w:t>客户分配</w:t>
      </w:r>
      <w:proofErr w:type="gramStart"/>
      <w:r w:rsidRPr="00E10318">
        <w:rPr>
          <w:rFonts w:ascii="仿宋" w:eastAsia="仿宋" w:hAnsi="仿宋" w:cs="宋体" w:hint="eastAsia"/>
          <w:bCs/>
          <w:kern w:val="0"/>
          <w:sz w:val="32"/>
          <w:szCs w:val="21"/>
        </w:rPr>
        <w:t>实际平仓</w:t>
      </w:r>
      <w:proofErr w:type="gramEnd"/>
      <w:r w:rsidRPr="00E10318">
        <w:rPr>
          <w:rFonts w:ascii="仿宋" w:eastAsia="仿宋" w:hAnsi="仿宋" w:cs="宋体" w:hint="eastAsia"/>
          <w:bCs/>
          <w:kern w:val="0"/>
          <w:sz w:val="32"/>
          <w:szCs w:val="21"/>
        </w:rPr>
        <w:t>数量；</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若盈利6%以上的投机头寸数量小于申报平仓数量，则根据盈利6%以上的投机头寸数量与申报平仓数量的比例，将盈利6%以上投机头寸数量向申报平仓</w:t>
      </w:r>
      <w:r w:rsidRPr="00E10318">
        <w:rPr>
          <w:rFonts w:ascii="仿宋" w:eastAsia="仿宋" w:hAnsi="仿宋" w:cs="宋体" w:hint="eastAsia"/>
          <w:bCs/>
          <w:kern w:val="0"/>
          <w:sz w:val="32"/>
          <w:szCs w:val="21"/>
        </w:rPr>
        <w:t>客户分配</w:t>
      </w:r>
      <w:proofErr w:type="gramStart"/>
      <w:r w:rsidRPr="00E10318">
        <w:rPr>
          <w:rFonts w:ascii="仿宋" w:eastAsia="仿宋" w:hAnsi="仿宋" w:cs="宋体" w:hint="eastAsia"/>
          <w:bCs/>
          <w:kern w:val="0"/>
          <w:sz w:val="32"/>
          <w:szCs w:val="21"/>
        </w:rPr>
        <w:t>实际平仓</w:t>
      </w:r>
      <w:proofErr w:type="gramEnd"/>
      <w:r w:rsidRPr="00E10318">
        <w:rPr>
          <w:rFonts w:ascii="仿宋" w:eastAsia="仿宋" w:hAnsi="仿宋" w:cs="宋体" w:hint="eastAsia"/>
          <w:bCs/>
          <w:kern w:val="0"/>
          <w:sz w:val="32"/>
          <w:szCs w:val="21"/>
        </w:rPr>
        <w:t>数量。再把剩余的申报平仓数量按上述的分配方法向盈利3%以上的投机头寸分配；若还有剩余，则再向盈利3%以下的投机头寸分配；若还有剩余，则再向盈利6%</w:t>
      </w:r>
      <w:r w:rsidRPr="00E10318">
        <w:rPr>
          <w:rFonts w:ascii="仿宋" w:eastAsia="仿宋" w:hAnsi="仿宋" w:cs="宋体" w:hint="eastAsia"/>
          <w:kern w:val="0"/>
          <w:sz w:val="32"/>
          <w:szCs w:val="32"/>
        </w:rPr>
        <w:t>以上的保值头寸分配。若还有剩余则</w:t>
      </w:r>
      <w:proofErr w:type="gramStart"/>
      <w:r w:rsidRPr="00E10318">
        <w:rPr>
          <w:rFonts w:ascii="仿宋" w:eastAsia="仿宋" w:hAnsi="仿宋" w:cs="宋体" w:hint="eastAsia"/>
          <w:kern w:val="0"/>
          <w:sz w:val="32"/>
          <w:szCs w:val="32"/>
        </w:rPr>
        <w:t>不</w:t>
      </w:r>
      <w:proofErr w:type="gramEnd"/>
      <w:r w:rsidRPr="00E10318">
        <w:rPr>
          <w:rFonts w:ascii="仿宋" w:eastAsia="仿宋" w:hAnsi="仿宋" w:cs="宋体" w:hint="eastAsia"/>
          <w:kern w:val="0"/>
          <w:sz w:val="32"/>
          <w:szCs w:val="32"/>
        </w:rPr>
        <w:t>再分配。</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lastRenderedPageBreak/>
        <w:t>（2）天然橡胶、燃料油和石油沥青品种平仓数量的分配方法及步骤</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若盈利8%以上的投机头寸数量大于或等于申报平仓数量，则根据申报平仓数量与盈利8%以上的投机头寸数量的比例，将申报平仓数量向盈利8%以上的投机</w:t>
      </w:r>
      <w:r w:rsidRPr="00E10318">
        <w:rPr>
          <w:rFonts w:ascii="仿宋" w:eastAsia="仿宋" w:hAnsi="仿宋" w:cs="宋体" w:hint="eastAsia"/>
          <w:bCs/>
          <w:kern w:val="0"/>
          <w:sz w:val="32"/>
          <w:szCs w:val="21"/>
        </w:rPr>
        <w:t>客户分配</w:t>
      </w:r>
      <w:proofErr w:type="gramStart"/>
      <w:r w:rsidRPr="00E10318">
        <w:rPr>
          <w:rFonts w:ascii="仿宋" w:eastAsia="仿宋" w:hAnsi="仿宋" w:cs="宋体" w:hint="eastAsia"/>
          <w:bCs/>
          <w:kern w:val="0"/>
          <w:sz w:val="32"/>
          <w:szCs w:val="21"/>
        </w:rPr>
        <w:t>实际平仓</w:t>
      </w:r>
      <w:proofErr w:type="gramEnd"/>
      <w:r w:rsidRPr="00E10318">
        <w:rPr>
          <w:rFonts w:ascii="仿宋" w:eastAsia="仿宋" w:hAnsi="仿宋" w:cs="宋体" w:hint="eastAsia"/>
          <w:bCs/>
          <w:kern w:val="0"/>
          <w:sz w:val="32"/>
          <w:szCs w:val="21"/>
        </w:rPr>
        <w:t>数量；</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若盈利8%以上的投机头寸数量小于申报平仓数量，则根据盈利8%以上的投机头寸数量与申报平仓数量的比例，将盈利8%以上投机头寸数量向申报平仓</w:t>
      </w:r>
      <w:r w:rsidRPr="00E10318">
        <w:rPr>
          <w:rFonts w:ascii="仿宋" w:eastAsia="仿宋" w:hAnsi="仿宋" w:cs="宋体" w:hint="eastAsia"/>
          <w:bCs/>
          <w:kern w:val="0"/>
          <w:sz w:val="32"/>
          <w:szCs w:val="21"/>
        </w:rPr>
        <w:t>客户分配</w:t>
      </w:r>
      <w:proofErr w:type="gramStart"/>
      <w:r w:rsidRPr="00E10318">
        <w:rPr>
          <w:rFonts w:ascii="仿宋" w:eastAsia="仿宋" w:hAnsi="仿宋" w:cs="宋体" w:hint="eastAsia"/>
          <w:bCs/>
          <w:kern w:val="0"/>
          <w:sz w:val="32"/>
          <w:szCs w:val="21"/>
        </w:rPr>
        <w:t>实际平仓</w:t>
      </w:r>
      <w:proofErr w:type="gramEnd"/>
      <w:r w:rsidRPr="00E10318">
        <w:rPr>
          <w:rFonts w:ascii="仿宋" w:eastAsia="仿宋" w:hAnsi="仿宋" w:cs="宋体" w:hint="eastAsia"/>
          <w:bCs/>
          <w:kern w:val="0"/>
          <w:sz w:val="32"/>
          <w:szCs w:val="21"/>
        </w:rPr>
        <w:t>数量。再把剩余的申报平仓数量按上述的分配方法向盈利4%以上的投机头寸分配；若还有剩余，则再向盈利4%以下的投机头寸分配；若还有剩余，则再向盈利8%以上的保值头寸分配。若还有剩余则</w:t>
      </w:r>
      <w:proofErr w:type="gramStart"/>
      <w:r w:rsidRPr="00E10318">
        <w:rPr>
          <w:rFonts w:ascii="仿宋" w:eastAsia="仿宋" w:hAnsi="仿宋" w:cs="宋体" w:hint="eastAsia"/>
          <w:bCs/>
          <w:kern w:val="0"/>
          <w:sz w:val="32"/>
          <w:szCs w:val="21"/>
        </w:rPr>
        <w:t>不</w:t>
      </w:r>
      <w:proofErr w:type="gramEnd"/>
      <w:r w:rsidRPr="00E10318">
        <w:rPr>
          <w:rFonts w:ascii="仿宋" w:eastAsia="仿宋" w:hAnsi="仿宋" w:cs="宋体" w:hint="eastAsia"/>
          <w:bCs/>
          <w:kern w:val="0"/>
          <w:sz w:val="32"/>
          <w:szCs w:val="21"/>
        </w:rPr>
        <w:t>再分配。</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（五）平仓数量尾数的处理方法</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首先对每个</w:t>
      </w:r>
      <w:r w:rsidRPr="00E10318">
        <w:rPr>
          <w:rFonts w:ascii="仿宋" w:eastAsia="仿宋" w:hAnsi="仿宋" w:cs="宋体" w:hint="eastAsia"/>
          <w:bCs/>
          <w:kern w:val="0"/>
          <w:sz w:val="32"/>
          <w:szCs w:val="21"/>
        </w:rPr>
        <w:t>客户</w:t>
      </w:r>
      <w:r w:rsidRPr="00E10318">
        <w:rPr>
          <w:rFonts w:ascii="仿宋" w:eastAsia="仿宋" w:hAnsi="仿宋" w:cs="宋体" w:hint="eastAsia"/>
          <w:kern w:val="0"/>
          <w:sz w:val="32"/>
          <w:szCs w:val="32"/>
        </w:rPr>
        <w:t>编码所分配到的平仓数量的整数部分分配后再按照小数部分由大到小的顺序进行排序，然后按照该排序的顺序进行分配，每个</w:t>
      </w:r>
      <w:r w:rsidRPr="00E10318">
        <w:rPr>
          <w:rFonts w:ascii="仿宋" w:eastAsia="仿宋" w:hAnsi="仿宋" w:cs="宋体" w:hint="eastAsia"/>
          <w:bCs/>
          <w:kern w:val="0"/>
          <w:sz w:val="32"/>
          <w:szCs w:val="21"/>
        </w:rPr>
        <w:t>客户编码1手；对于小数部分相同的客户，如果分配数量不足，则随机进行分配。</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采取措施二之后，</w:t>
      </w:r>
      <w:proofErr w:type="gramStart"/>
      <w:r w:rsidRPr="00E10318">
        <w:rPr>
          <w:rFonts w:ascii="仿宋" w:eastAsia="仿宋" w:hAnsi="仿宋" w:cs="宋体" w:hint="eastAsia"/>
          <w:kern w:val="0"/>
          <w:sz w:val="32"/>
          <w:szCs w:val="32"/>
        </w:rPr>
        <w:t>若风险</w:t>
      </w:r>
      <w:proofErr w:type="gramEnd"/>
      <w:r w:rsidRPr="00E10318">
        <w:rPr>
          <w:rFonts w:ascii="仿宋" w:eastAsia="仿宋" w:hAnsi="仿宋" w:cs="宋体" w:hint="eastAsia"/>
          <w:kern w:val="0"/>
          <w:sz w:val="32"/>
          <w:szCs w:val="32"/>
        </w:rPr>
        <w:t>化解，则下一个交易日的涨跌停板和交易保证金比例均恢复正常水平；若还未化解风险，交易所则宣布为异常情况，并按有关规定采取风险控制措施。</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因采取措施二平仓造成的经济损失由会员及其</w:t>
      </w:r>
      <w:r w:rsidRPr="00E10318">
        <w:rPr>
          <w:rFonts w:ascii="仿宋" w:eastAsia="仿宋" w:hAnsi="仿宋" w:cs="FZDaBiaoSong-B06S" w:hint="eastAsia"/>
          <w:bCs/>
          <w:kern w:val="0"/>
          <w:sz w:val="32"/>
          <w:szCs w:val="24"/>
        </w:rPr>
        <w:t>客户承担。</w:t>
      </w:r>
    </w:p>
    <w:p w:rsidR="00E10318" w:rsidRPr="00E10318" w:rsidRDefault="00E10318" w:rsidP="00E10318">
      <w:pPr>
        <w:widowControl/>
        <w:spacing w:before="100" w:beforeAutospacing="1" w:after="100" w:afterAutospacing="1"/>
        <w:jc w:val="left"/>
        <w:rPr>
          <w:rFonts w:ascii="宋体" w:eastAsia="宋体" w:hAnsi="宋体" w:cs="宋体"/>
          <w:kern w:val="0"/>
          <w:sz w:val="24"/>
          <w:szCs w:val="24"/>
        </w:rPr>
      </w:pPr>
      <w:r w:rsidRPr="00E10318">
        <w:rPr>
          <w:rFonts w:ascii="宋体" w:eastAsia="宋体" w:hAnsi="宋体" w:cs="宋体" w:hint="eastAsia"/>
          <w:kern w:val="0"/>
          <w:sz w:val="24"/>
          <w:szCs w:val="24"/>
        </w:rPr>
        <w:lastRenderedPageBreak/>
        <w:t> </w:t>
      </w:r>
    </w:p>
    <w:p w:rsidR="00E10318" w:rsidRPr="00E10318" w:rsidRDefault="00E10318" w:rsidP="00E10318">
      <w:pPr>
        <w:widowControl/>
        <w:adjustRightInd w:val="0"/>
        <w:spacing w:before="100" w:beforeAutospacing="1" w:after="100" w:afterAutospacing="1" w:line="520" w:lineRule="exact"/>
        <w:jc w:val="center"/>
        <w:rPr>
          <w:rFonts w:ascii="宋体" w:eastAsia="宋体" w:hAnsi="宋体" w:cs="宋体"/>
          <w:kern w:val="0"/>
          <w:sz w:val="24"/>
          <w:szCs w:val="24"/>
        </w:rPr>
      </w:pPr>
      <w:r w:rsidRPr="00E10318">
        <w:rPr>
          <w:rFonts w:ascii="仿宋" w:eastAsia="仿宋" w:hAnsi="仿宋" w:cs="宋体" w:hint="eastAsia"/>
          <w:b/>
          <w:bCs/>
          <w:kern w:val="0"/>
          <w:sz w:val="32"/>
          <w:szCs w:val="32"/>
        </w:rPr>
        <w:t>第四章 限仓制度</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第十五条 交易</w:t>
      </w:r>
      <w:bookmarkStart w:id="5" w:name="OLE_LINK453"/>
      <w:r w:rsidRPr="00E10318">
        <w:rPr>
          <w:rFonts w:ascii="仿宋" w:eastAsia="仿宋" w:hAnsi="仿宋" w:cs="宋体" w:hint="eastAsia"/>
          <w:color w:val="333333"/>
          <w:kern w:val="0"/>
          <w:sz w:val="32"/>
          <w:szCs w:val="32"/>
        </w:rPr>
        <w:t>所</w:t>
      </w:r>
      <w:r w:rsidRPr="00E10318">
        <w:rPr>
          <w:rFonts w:ascii="仿宋" w:eastAsia="仿宋" w:hAnsi="仿宋" w:cs="宋体" w:hint="eastAsia"/>
          <w:kern w:val="0"/>
          <w:sz w:val="32"/>
          <w:szCs w:val="32"/>
        </w:rPr>
        <w:t>实行</w:t>
      </w:r>
      <w:bookmarkStart w:id="6" w:name="OLE_LINK468"/>
      <w:bookmarkStart w:id="7" w:name="OLE_LINK467"/>
      <w:bookmarkStart w:id="8" w:name="OLE_LINK466"/>
      <w:bookmarkStart w:id="9" w:name="OLE_LINK465"/>
      <w:r w:rsidRPr="00E10318">
        <w:rPr>
          <w:rFonts w:ascii="仿宋" w:eastAsia="仿宋" w:hAnsi="仿宋" w:cs="宋体" w:hint="eastAsia"/>
          <w:color w:val="333333"/>
          <w:kern w:val="0"/>
          <w:sz w:val="32"/>
          <w:szCs w:val="32"/>
        </w:rPr>
        <w:t>持仓</w:t>
      </w:r>
      <w:r w:rsidRPr="00E10318">
        <w:rPr>
          <w:rFonts w:ascii="仿宋" w:eastAsia="仿宋" w:hAnsi="仿宋" w:cs="宋体" w:hint="eastAsia"/>
          <w:kern w:val="0"/>
          <w:sz w:val="32"/>
          <w:szCs w:val="32"/>
        </w:rPr>
        <w:t>限额制度。</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持仓限额是指交易所规定的会员或者客户对某一合约单边持仓的最大数量。</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套期保值持</w:t>
      </w:r>
      <w:proofErr w:type="gramStart"/>
      <w:r w:rsidRPr="00E10318">
        <w:rPr>
          <w:rFonts w:ascii="仿宋" w:eastAsia="仿宋" w:hAnsi="仿宋" w:cs="宋体" w:hint="eastAsia"/>
          <w:kern w:val="0"/>
          <w:sz w:val="32"/>
          <w:szCs w:val="32"/>
        </w:rPr>
        <w:t>仓头寸</w:t>
      </w:r>
      <w:proofErr w:type="gramEnd"/>
      <w:r w:rsidRPr="00E10318">
        <w:rPr>
          <w:rFonts w:ascii="仿宋" w:eastAsia="仿宋" w:hAnsi="仿宋" w:cs="宋体" w:hint="eastAsia"/>
          <w:kern w:val="0"/>
          <w:sz w:val="32"/>
          <w:szCs w:val="32"/>
        </w:rPr>
        <w:t>实行审批制度，不受本条前款限制。</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第十六条持仓限额实行以下基本制度:</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（一）根据不同期货品种的具体情况，分别确定每一品种每一月份合约的持仓限额;</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 xml:space="preserve">（二）某一月份合约在其交易过程中的不同阶段，分别适用不同的持仓限额，进入交割月份的合约的持仓限额从严控制;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（三）采用限制会员持仓和限制客户持仓、比例限仓和数额限仓相结合的办法，控制市场风险。</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第十七条 同一客户在不同期货公司会员处开有多个交易编码，各交易编码上所有持</w:t>
      </w:r>
      <w:proofErr w:type="gramStart"/>
      <w:r w:rsidRPr="00E10318">
        <w:rPr>
          <w:rFonts w:ascii="仿宋" w:eastAsia="仿宋" w:hAnsi="仿宋" w:cs="宋体" w:hint="eastAsia"/>
          <w:kern w:val="0"/>
          <w:sz w:val="32"/>
          <w:szCs w:val="32"/>
        </w:rPr>
        <w:t>仓头</w:t>
      </w:r>
      <w:proofErr w:type="gramEnd"/>
      <w:r w:rsidRPr="00E10318">
        <w:rPr>
          <w:rFonts w:ascii="仿宋" w:eastAsia="仿宋" w:hAnsi="仿宋" w:cs="宋体" w:hint="eastAsia"/>
          <w:kern w:val="0"/>
          <w:sz w:val="32"/>
          <w:szCs w:val="32"/>
        </w:rPr>
        <w:t>寸的合计数，不得超出一个客户的持仓限额。</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交割月前第一月的最后一个交易日收盘前，各会员、各客户在每个会员处铜、铝、锌、铅期货合约的投机持仓应当调整为5手的整倍数（</w:t>
      </w:r>
      <w:proofErr w:type="gramStart"/>
      <w:r w:rsidRPr="00E10318">
        <w:rPr>
          <w:rFonts w:ascii="仿宋" w:eastAsia="仿宋" w:hAnsi="仿宋" w:cs="宋体" w:hint="eastAsia"/>
          <w:kern w:val="0"/>
          <w:sz w:val="32"/>
          <w:szCs w:val="32"/>
        </w:rPr>
        <w:t>遇市场</w:t>
      </w:r>
      <w:proofErr w:type="gramEnd"/>
      <w:r w:rsidRPr="00E10318">
        <w:rPr>
          <w:rFonts w:ascii="仿宋" w:eastAsia="仿宋" w:hAnsi="仿宋" w:cs="宋体" w:hint="eastAsia"/>
          <w:kern w:val="0"/>
          <w:sz w:val="32"/>
          <w:szCs w:val="32"/>
        </w:rPr>
        <w:t>特殊情况无法按期调整的，可</w:t>
      </w:r>
      <w:r w:rsidRPr="00E10318">
        <w:rPr>
          <w:rFonts w:ascii="仿宋" w:eastAsia="仿宋" w:hAnsi="仿宋" w:cs="宋体" w:hint="eastAsia"/>
          <w:kern w:val="0"/>
          <w:sz w:val="32"/>
          <w:szCs w:val="32"/>
        </w:rPr>
        <w:lastRenderedPageBreak/>
        <w:t>以顺延一天）; 进入交割月后，铜、铝、锌、铅合约投机持仓应当是5手的整倍数，新开、平仓也应当是5手的整倍数。</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交割月前第一月的最后一个交易日收盘前，各会员、各客户在每个</w:t>
      </w:r>
      <w:proofErr w:type="gramStart"/>
      <w:r w:rsidRPr="00E10318">
        <w:rPr>
          <w:rFonts w:ascii="仿宋" w:eastAsia="仿宋" w:hAnsi="仿宋" w:cs="宋体" w:hint="eastAsia"/>
          <w:kern w:val="0"/>
          <w:sz w:val="32"/>
          <w:szCs w:val="32"/>
        </w:rPr>
        <w:t>会员处镍期货</w:t>
      </w:r>
      <w:proofErr w:type="gramEnd"/>
      <w:r w:rsidRPr="00E10318">
        <w:rPr>
          <w:rFonts w:ascii="仿宋" w:eastAsia="仿宋" w:hAnsi="仿宋" w:cs="宋体" w:hint="eastAsia"/>
          <w:kern w:val="0"/>
          <w:sz w:val="32"/>
          <w:szCs w:val="32"/>
        </w:rPr>
        <w:t>合约的投机持仓应当调整为6手的整倍数（</w:t>
      </w:r>
      <w:proofErr w:type="gramStart"/>
      <w:r w:rsidRPr="00E10318">
        <w:rPr>
          <w:rFonts w:ascii="仿宋" w:eastAsia="仿宋" w:hAnsi="仿宋" w:cs="宋体" w:hint="eastAsia"/>
          <w:kern w:val="0"/>
          <w:sz w:val="32"/>
          <w:szCs w:val="32"/>
        </w:rPr>
        <w:t>遇市场</w:t>
      </w:r>
      <w:proofErr w:type="gramEnd"/>
      <w:r w:rsidRPr="00E10318">
        <w:rPr>
          <w:rFonts w:ascii="仿宋" w:eastAsia="仿宋" w:hAnsi="仿宋" w:cs="宋体" w:hint="eastAsia"/>
          <w:kern w:val="0"/>
          <w:sz w:val="32"/>
          <w:szCs w:val="32"/>
        </w:rPr>
        <w:t>特殊情况无法按期调整的，可以顺延一天）; 进入交割月后，镍期货合约投机持仓应当是6手的整倍数，新开、平仓也应当是6手的整倍数。</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交割月前第一月的最后一个交易日收盘前，各会员、各客户在每个会员处螺纹钢、线材、热轧卷板期货合约的投机持仓应当调整为30手的整倍数（</w:t>
      </w:r>
      <w:proofErr w:type="gramStart"/>
      <w:r w:rsidRPr="00E10318">
        <w:rPr>
          <w:rFonts w:ascii="仿宋" w:eastAsia="仿宋" w:hAnsi="仿宋" w:cs="宋体" w:hint="eastAsia"/>
          <w:kern w:val="0"/>
          <w:sz w:val="32"/>
          <w:szCs w:val="32"/>
        </w:rPr>
        <w:t>遇市场</w:t>
      </w:r>
      <w:proofErr w:type="gramEnd"/>
      <w:r w:rsidRPr="00E10318">
        <w:rPr>
          <w:rFonts w:ascii="仿宋" w:eastAsia="仿宋" w:hAnsi="仿宋" w:cs="宋体" w:hint="eastAsia"/>
          <w:kern w:val="0"/>
          <w:sz w:val="32"/>
          <w:szCs w:val="32"/>
        </w:rPr>
        <w:t>特殊情况无法按期调整的，可以顺延一天）;进入交割月后，螺纹钢、线材、热轧卷板合约投机持仓应当是30手的整倍数，新开、平仓也应当是30手的整倍数。</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交割月前第一月的最后一个交易日收盘前，各会员、各客户在每个会员处黄金期货合约的投机持仓应当调整为3手的整倍数。进入交割月后，黄金期货合约投机持仓应当是3手的整倍数，新开仓、平仓也应当是3手的整倍数。</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交割月前第一月的最后一个交易日收盘前，各会员、各客户在每个会员处锡、白银期货合约的投机持仓应当调整为2手的整倍数。进入交割月后，锡、白银期货合约投机持仓应当是2手的整倍数，新开仓、平仓也应当是2手的整倍数。</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相关品种期货合约套期保值交易头寸整倍数相关规定参见上海期货交易所套期保值交易管理相关规定。</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lastRenderedPageBreak/>
        <w:t xml:space="preserve">第十八条 </w:t>
      </w:r>
      <w:r w:rsidRPr="00E10318">
        <w:rPr>
          <w:rFonts w:ascii="仿宋" w:eastAsia="仿宋" w:hAnsi="仿宋" w:cs="宋体" w:hint="eastAsia"/>
          <w:bCs/>
          <w:kern w:val="0"/>
          <w:sz w:val="32"/>
          <w:szCs w:val="21"/>
        </w:rPr>
        <w:t>期货公司</w:t>
      </w:r>
      <w:r w:rsidRPr="00E10318">
        <w:rPr>
          <w:rFonts w:ascii="仿宋" w:eastAsia="仿宋" w:hAnsi="仿宋" w:cs="宋体" w:hint="eastAsia"/>
          <w:kern w:val="0"/>
          <w:sz w:val="32"/>
          <w:szCs w:val="32"/>
        </w:rPr>
        <w:t>会员、非</w:t>
      </w:r>
      <w:r w:rsidRPr="00E10318">
        <w:rPr>
          <w:rFonts w:ascii="仿宋" w:eastAsia="仿宋" w:hAnsi="仿宋" w:cs="宋体" w:hint="eastAsia"/>
          <w:bCs/>
          <w:kern w:val="0"/>
          <w:sz w:val="32"/>
          <w:szCs w:val="21"/>
        </w:rPr>
        <w:t>期货公司会员和客户的各品种期货合约在不同时期的限仓比例和限仓数额具体规定如下：</w:t>
      </w:r>
    </w:p>
    <w:p w:rsidR="00E10318" w:rsidRPr="00E10318" w:rsidRDefault="00E10318" w:rsidP="00E10318">
      <w:pPr>
        <w:widowControl/>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宋体" w:eastAsia="宋体" w:hAnsi="宋体" w:cs="宋体" w:hint="eastAsia"/>
          <w:kern w:val="0"/>
          <w:sz w:val="32"/>
          <w:szCs w:val="32"/>
        </w:rPr>
        <w:t> </w:t>
      </w:r>
    </w:p>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
          <w:bCs/>
          <w:spacing w:val="-20"/>
          <w:kern w:val="0"/>
          <w:sz w:val="24"/>
          <w:szCs w:val="24"/>
        </w:rPr>
        <w:t>表二十八</w:t>
      </w:r>
      <w:r w:rsidRPr="00E10318">
        <w:rPr>
          <w:rFonts w:ascii="宋体" w:eastAsia="宋体" w:hAnsi="宋体" w:cs="宋体" w:hint="eastAsia"/>
          <w:b/>
          <w:bCs/>
          <w:spacing w:val="-20"/>
          <w:kern w:val="0"/>
          <w:sz w:val="24"/>
          <w:szCs w:val="24"/>
        </w:rPr>
        <w:t> </w:t>
      </w:r>
      <w:r w:rsidRPr="00E10318">
        <w:rPr>
          <w:rFonts w:ascii="仿宋" w:eastAsia="仿宋" w:hAnsi="仿宋" w:cs="仿宋" w:hint="eastAsia"/>
          <w:b/>
          <w:bCs/>
          <w:spacing w:val="-20"/>
          <w:kern w:val="0"/>
          <w:sz w:val="24"/>
          <w:szCs w:val="24"/>
        </w:rPr>
        <w:t xml:space="preserve"> </w:t>
      </w:r>
      <w:r w:rsidRPr="00E10318">
        <w:rPr>
          <w:rFonts w:ascii="仿宋" w:eastAsia="仿宋" w:hAnsi="仿宋" w:cs="宋体" w:hint="eastAsia"/>
          <w:b/>
          <w:bCs/>
          <w:spacing w:val="-20"/>
          <w:kern w:val="0"/>
          <w:sz w:val="24"/>
          <w:szCs w:val="24"/>
        </w:rPr>
        <w:t>铜、铝、锌、螺纹钢、线材期货合约在不同时期的限仓比例和限仓数额规定</w:t>
      </w:r>
    </w:p>
    <w:p w:rsidR="00E10318" w:rsidRPr="00E10318" w:rsidRDefault="00E10318" w:rsidP="00E10318">
      <w:pPr>
        <w:widowControl/>
        <w:spacing w:before="100" w:beforeAutospacing="1" w:after="100" w:afterAutospacing="1"/>
        <w:jc w:val="right"/>
        <w:rPr>
          <w:rFonts w:ascii="宋体" w:eastAsia="宋体" w:hAnsi="宋体" w:cs="宋体"/>
          <w:kern w:val="0"/>
          <w:sz w:val="24"/>
          <w:szCs w:val="24"/>
        </w:rPr>
      </w:pPr>
      <w:r w:rsidRPr="00E10318">
        <w:rPr>
          <w:rFonts w:ascii="仿宋" w:eastAsia="仿宋" w:hAnsi="仿宋" w:cs="宋体" w:hint="eastAsia"/>
          <w:kern w:val="0"/>
          <w:sz w:val="24"/>
          <w:szCs w:val="24"/>
        </w:rPr>
        <w:t>（单位：手）</w:t>
      </w:r>
    </w:p>
    <w:tbl>
      <w:tblPr>
        <w:tblW w:w="8850" w:type="dxa"/>
        <w:jc w:val="center"/>
        <w:tblInd w:w="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607"/>
        <w:gridCol w:w="709"/>
        <w:gridCol w:w="993"/>
        <w:gridCol w:w="708"/>
        <w:gridCol w:w="851"/>
        <w:gridCol w:w="709"/>
        <w:gridCol w:w="1071"/>
        <w:gridCol w:w="966"/>
        <w:gridCol w:w="1018"/>
        <w:gridCol w:w="1218"/>
      </w:tblGrid>
      <w:tr w:rsidR="00E10318" w:rsidRPr="00E10318" w:rsidTr="00E10318">
        <w:trPr>
          <w:cantSplit/>
          <w:trHeight w:val="817"/>
          <w:jc w:val="center"/>
        </w:trPr>
        <w:tc>
          <w:tcPr>
            <w:tcW w:w="606" w:type="dxa"/>
            <w:vMerge w:val="restart"/>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宋体" w:eastAsia="宋体" w:hAnsi="宋体" w:cs="宋体" w:hint="eastAsia"/>
                <w:kern w:val="0"/>
                <w:sz w:val="24"/>
                <w:szCs w:val="24"/>
              </w:rPr>
              <w:t> </w:t>
            </w:r>
          </w:p>
        </w:tc>
        <w:tc>
          <w:tcPr>
            <w:tcW w:w="1701" w:type="dxa"/>
            <w:gridSpan w:val="2"/>
            <w:tcBorders>
              <w:top w:val="single" w:sz="6" w:space="0" w:color="auto"/>
              <w:left w:val="single" w:sz="6" w:space="0" w:color="auto"/>
              <w:bottom w:val="single" w:sz="6"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合约挂牌至交割月份</w:t>
            </w:r>
          </w:p>
        </w:tc>
        <w:tc>
          <w:tcPr>
            <w:tcW w:w="2268" w:type="dxa"/>
            <w:gridSpan w:val="3"/>
            <w:tcBorders>
              <w:top w:val="single" w:sz="6" w:space="0" w:color="auto"/>
              <w:left w:val="single" w:sz="4" w:space="0" w:color="auto"/>
              <w:bottom w:val="single" w:sz="6"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合约挂牌至交割月前第二月的最后一个交易日</w:t>
            </w:r>
          </w:p>
        </w:tc>
        <w:tc>
          <w:tcPr>
            <w:tcW w:w="2037" w:type="dxa"/>
            <w:gridSpan w:val="2"/>
            <w:tcBorders>
              <w:top w:val="single" w:sz="6" w:space="0" w:color="auto"/>
              <w:left w:val="single" w:sz="4"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交割月前第一月</w:t>
            </w:r>
          </w:p>
        </w:tc>
        <w:tc>
          <w:tcPr>
            <w:tcW w:w="2236" w:type="dxa"/>
            <w:gridSpan w:val="2"/>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交割月份</w:t>
            </w:r>
          </w:p>
        </w:tc>
      </w:tr>
      <w:tr w:rsidR="00E10318" w:rsidRPr="00E10318" w:rsidTr="00E10318">
        <w:trPr>
          <w:cantSplit/>
          <w:jc w:val="center"/>
        </w:trPr>
        <w:tc>
          <w:tcPr>
            <w:tcW w:w="606" w:type="dxa"/>
            <w:vMerge/>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jc w:val="left"/>
              <w:rPr>
                <w:rFonts w:ascii="宋体" w:eastAsia="宋体" w:hAnsi="宋体" w:cs="宋体"/>
                <w:kern w:val="0"/>
                <w:sz w:val="24"/>
                <w:szCs w:val="24"/>
              </w:rPr>
            </w:pPr>
          </w:p>
        </w:tc>
        <w:tc>
          <w:tcPr>
            <w:tcW w:w="708" w:type="dxa"/>
            <w:vMerge w:val="restart"/>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某一期货合约持仓量</w:t>
            </w:r>
          </w:p>
        </w:tc>
        <w:tc>
          <w:tcPr>
            <w:tcW w:w="993" w:type="dxa"/>
            <w:tcBorders>
              <w:top w:val="single" w:sz="6" w:space="0" w:color="auto"/>
              <w:left w:val="single" w:sz="6" w:space="0" w:color="auto"/>
              <w:bottom w:val="single" w:sz="6"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限仓比例（</w:t>
            </w:r>
            <w:r w:rsidRPr="00E10318">
              <w:rPr>
                <w:rFonts w:ascii="Symbol" w:eastAsia="宋体" w:hAnsi="Symbol" w:cs="宋体"/>
                <w:kern w:val="0"/>
                <w:sz w:val="24"/>
                <w:szCs w:val="24"/>
              </w:rPr>
              <w:t></w:t>
            </w:r>
            <w:r w:rsidRPr="00E10318">
              <w:rPr>
                <w:rFonts w:ascii="仿宋" w:eastAsia="仿宋" w:hAnsi="仿宋" w:cs="宋体" w:hint="eastAsia"/>
                <w:kern w:val="0"/>
                <w:sz w:val="24"/>
                <w:szCs w:val="24"/>
              </w:rPr>
              <w:t>）</w:t>
            </w:r>
          </w:p>
        </w:tc>
        <w:tc>
          <w:tcPr>
            <w:tcW w:w="708" w:type="dxa"/>
            <w:vMerge w:val="restart"/>
            <w:tcBorders>
              <w:top w:val="single" w:sz="6" w:space="0" w:color="auto"/>
              <w:left w:val="single" w:sz="4" w:space="0" w:color="auto"/>
              <w:bottom w:val="single" w:sz="6"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某一期货合约持仓量</w:t>
            </w:r>
          </w:p>
        </w:tc>
        <w:tc>
          <w:tcPr>
            <w:tcW w:w="1560" w:type="dxa"/>
            <w:gridSpan w:val="2"/>
            <w:tcBorders>
              <w:top w:val="single" w:sz="6" w:space="0" w:color="auto"/>
              <w:left w:val="single" w:sz="4" w:space="0" w:color="auto"/>
              <w:bottom w:val="single" w:sz="6"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限仓比例</w:t>
            </w:r>
          </w:p>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w:t>
            </w:r>
            <w:r w:rsidRPr="00E10318">
              <w:rPr>
                <w:rFonts w:ascii="Symbol" w:eastAsia="宋体" w:hAnsi="Symbol" w:cs="宋体"/>
                <w:kern w:val="0"/>
                <w:sz w:val="24"/>
                <w:szCs w:val="24"/>
              </w:rPr>
              <w:t></w:t>
            </w:r>
            <w:r w:rsidRPr="00E10318">
              <w:rPr>
                <w:rFonts w:ascii="仿宋" w:eastAsia="仿宋" w:hAnsi="仿宋" w:cs="宋体" w:hint="eastAsia"/>
                <w:kern w:val="0"/>
                <w:sz w:val="24"/>
                <w:szCs w:val="24"/>
              </w:rPr>
              <w:t>）</w:t>
            </w:r>
          </w:p>
        </w:tc>
        <w:tc>
          <w:tcPr>
            <w:tcW w:w="2037" w:type="dxa"/>
            <w:gridSpan w:val="2"/>
            <w:tcBorders>
              <w:top w:val="single" w:sz="6" w:space="0" w:color="auto"/>
              <w:left w:val="single" w:sz="4"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限仓数额(手)</w:t>
            </w:r>
          </w:p>
        </w:tc>
        <w:tc>
          <w:tcPr>
            <w:tcW w:w="2236" w:type="dxa"/>
            <w:gridSpan w:val="2"/>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 xml:space="preserve">限仓数额(手) </w:t>
            </w:r>
          </w:p>
        </w:tc>
      </w:tr>
      <w:tr w:rsidR="00E10318" w:rsidRPr="00E10318" w:rsidTr="00E10318">
        <w:trPr>
          <w:cantSplit/>
          <w:jc w:val="center"/>
        </w:trPr>
        <w:tc>
          <w:tcPr>
            <w:tcW w:w="606" w:type="dxa"/>
            <w:vMerge/>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jc w:val="left"/>
              <w:rPr>
                <w:rFonts w:ascii="宋体" w:eastAsia="宋体" w:hAnsi="宋体" w:cs="宋体"/>
                <w:kern w:val="0"/>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jc w:val="left"/>
              <w:rPr>
                <w:rFonts w:ascii="宋体" w:eastAsia="宋体" w:hAnsi="宋体" w:cs="宋体"/>
                <w:kern w:val="0"/>
                <w:sz w:val="24"/>
                <w:szCs w:val="24"/>
              </w:rPr>
            </w:pPr>
          </w:p>
        </w:tc>
        <w:tc>
          <w:tcPr>
            <w:tcW w:w="993" w:type="dxa"/>
            <w:tcBorders>
              <w:top w:val="single" w:sz="6" w:space="0" w:color="auto"/>
              <w:left w:val="single" w:sz="6" w:space="0" w:color="auto"/>
              <w:bottom w:val="single" w:sz="6"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期货公司会员</w:t>
            </w:r>
          </w:p>
        </w:tc>
        <w:tc>
          <w:tcPr>
            <w:tcW w:w="2268" w:type="dxa"/>
            <w:vMerge/>
            <w:tcBorders>
              <w:top w:val="single" w:sz="6" w:space="0" w:color="auto"/>
              <w:left w:val="single" w:sz="4" w:space="0" w:color="auto"/>
              <w:bottom w:val="single" w:sz="6" w:space="0" w:color="auto"/>
              <w:right w:val="single" w:sz="4" w:space="0" w:color="auto"/>
            </w:tcBorders>
            <w:vAlign w:val="center"/>
            <w:hideMark/>
          </w:tcPr>
          <w:p w:rsidR="00E10318" w:rsidRPr="00E10318" w:rsidRDefault="00E10318" w:rsidP="00E10318">
            <w:pPr>
              <w:widowControl/>
              <w:jc w:val="left"/>
              <w:rPr>
                <w:rFonts w:ascii="宋体" w:eastAsia="宋体" w:hAnsi="宋体" w:cs="宋体"/>
                <w:kern w:val="0"/>
                <w:sz w:val="24"/>
                <w:szCs w:val="24"/>
              </w:rPr>
            </w:pPr>
          </w:p>
        </w:tc>
        <w:tc>
          <w:tcPr>
            <w:tcW w:w="851" w:type="dxa"/>
            <w:tcBorders>
              <w:top w:val="single" w:sz="6" w:space="0" w:color="auto"/>
              <w:left w:val="single" w:sz="4"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非期货公司会员</w:t>
            </w:r>
          </w:p>
        </w:tc>
        <w:tc>
          <w:tcPr>
            <w:tcW w:w="709"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客户</w:t>
            </w:r>
          </w:p>
        </w:tc>
        <w:tc>
          <w:tcPr>
            <w:tcW w:w="1071" w:type="dxa"/>
            <w:tcBorders>
              <w:top w:val="single" w:sz="6" w:space="0" w:color="auto"/>
              <w:left w:val="single" w:sz="4"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非期货公司会员</w:t>
            </w:r>
          </w:p>
        </w:tc>
        <w:tc>
          <w:tcPr>
            <w:tcW w:w="966"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客户</w:t>
            </w:r>
          </w:p>
        </w:tc>
        <w:tc>
          <w:tcPr>
            <w:tcW w:w="1018" w:type="dxa"/>
            <w:tcBorders>
              <w:top w:val="single" w:sz="6" w:space="0" w:color="auto"/>
              <w:left w:val="single" w:sz="4"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非期货公司会员</w:t>
            </w:r>
          </w:p>
        </w:tc>
        <w:tc>
          <w:tcPr>
            <w:tcW w:w="1218"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客户</w:t>
            </w:r>
          </w:p>
        </w:tc>
      </w:tr>
      <w:tr w:rsidR="00E10318" w:rsidRPr="00E10318" w:rsidTr="00E10318">
        <w:trPr>
          <w:cantSplit/>
          <w:trHeight w:val="641"/>
          <w:jc w:val="center"/>
        </w:trPr>
        <w:tc>
          <w:tcPr>
            <w:tcW w:w="606"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铜</w:t>
            </w:r>
          </w:p>
        </w:tc>
        <w:tc>
          <w:tcPr>
            <w:tcW w:w="708"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≥12万手</w:t>
            </w:r>
          </w:p>
        </w:tc>
        <w:tc>
          <w:tcPr>
            <w:tcW w:w="993" w:type="dxa"/>
            <w:tcBorders>
              <w:top w:val="single" w:sz="6" w:space="0" w:color="auto"/>
              <w:left w:val="single" w:sz="6" w:space="0" w:color="auto"/>
              <w:bottom w:val="single" w:sz="6"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25</w:t>
            </w:r>
          </w:p>
        </w:tc>
        <w:tc>
          <w:tcPr>
            <w:tcW w:w="708" w:type="dxa"/>
            <w:tcBorders>
              <w:top w:val="single" w:sz="6" w:space="0" w:color="auto"/>
              <w:left w:val="single" w:sz="4" w:space="0" w:color="auto"/>
              <w:bottom w:val="single" w:sz="6"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≥12万手</w:t>
            </w:r>
          </w:p>
        </w:tc>
        <w:tc>
          <w:tcPr>
            <w:tcW w:w="851" w:type="dxa"/>
            <w:tcBorders>
              <w:top w:val="single" w:sz="6" w:space="0" w:color="auto"/>
              <w:left w:val="single" w:sz="4"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c>
          <w:tcPr>
            <w:tcW w:w="709"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5</w:t>
            </w:r>
          </w:p>
        </w:tc>
        <w:tc>
          <w:tcPr>
            <w:tcW w:w="1071" w:type="dxa"/>
            <w:tcBorders>
              <w:top w:val="single" w:sz="6" w:space="0" w:color="auto"/>
              <w:left w:val="single" w:sz="4"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1200</w:t>
            </w:r>
          </w:p>
        </w:tc>
        <w:tc>
          <w:tcPr>
            <w:tcW w:w="966"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800</w:t>
            </w:r>
          </w:p>
        </w:tc>
        <w:tc>
          <w:tcPr>
            <w:tcW w:w="1018" w:type="dxa"/>
            <w:tcBorders>
              <w:top w:val="single" w:sz="6" w:space="0" w:color="auto"/>
              <w:left w:val="single" w:sz="4"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500</w:t>
            </w:r>
          </w:p>
        </w:tc>
        <w:tc>
          <w:tcPr>
            <w:tcW w:w="1218"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300</w:t>
            </w:r>
          </w:p>
        </w:tc>
      </w:tr>
      <w:tr w:rsidR="00E10318" w:rsidRPr="00E10318" w:rsidTr="00E10318">
        <w:trPr>
          <w:cantSplit/>
          <w:trHeight w:val="323"/>
          <w:jc w:val="center"/>
        </w:trPr>
        <w:tc>
          <w:tcPr>
            <w:tcW w:w="606"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铝</w:t>
            </w:r>
          </w:p>
        </w:tc>
        <w:tc>
          <w:tcPr>
            <w:tcW w:w="708"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≥12万手</w:t>
            </w:r>
          </w:p>
        </w:tc>
        <w:tc>
          <w:tcPr>
            <w:tcW w:w="993" w:type="dxa"/>
            <w:tcBorders>
              <w:top w:val="single" w:sz="6" w:space="0" w:color="auto"/>
              <w:left w:val="single" w:sz="6" w:space="0" w:color="auto"/>
              <w:bottom w:val="single" w:sz="6"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25</w:t>
            </w:r>
          </w:p>
        </w:tc>
        <w:tc>
          <w:tcPr>
            <w:tcW w:w="708" w:type="dxa"/>
            <w:tcBorders>
              <w:top w:val="single" w:sz="6" w:space="0" w:color="auto"/>
              <w:left w:val="single" w:sz="4" w:space="0" w:color="auto"/>
              <w:bottom w:val="single" w:sz="6"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≥12万手</w:t>
            </w:r>
          </w:p>
        </w:tc>
        <w:tc>
          <w:tcPr>
            <w:tcW w:w="851" w:type="dxa"/>
            <w:tcBorders>
              <w:top w:val="single" w:sz="6" w:space="0" w:color="auto"/>
              <w:left w:val="single" w:sz="4"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c>
          <w:tcPr>
            <w:tcW w:w="709"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5</w:t>
            </w:r>
          </w:p>
        </w:tc>
        <w:tc>
          <w:tcPr>
            <w:tcW w:w="1071" w:type="dxa"/>
            <w:tcBorders>
              <w:top w:val="single" w:sz="6" w:space="0" w:color="auto"/>
              <w:left w:val="single" w:sz="4"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1500</w:t>
            </w:r>
          </w:p>
        </w:tc>
        <w:tc>
          <w:tcPr>
            <w:tcW w:w="966"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1000</w:t>
            </w:r>
          </w:p>
        </w:tc>
        <w:tc>
          <w:tcPr>
            <w:tcW w:w="1018" w:type="dxa"/>
            <w:tcBorders>
              <w:top w:val="single" w:sz="6" w:space="0" w:color="auto"/>
              <w:left w:val="single" w:sz="4"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500</w:t>
            </w:r>
          </w:p>
        </w:tc>
        <w:tc>
          <w:tcPr>
            <w:tcW w:w="1218"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300</w:t>
            </w:r>
          </w:p>
        </w:tc>
      </w:tr>
      <w:tr w:rsidR="00E10318" w:rsidRPr="00E10318" w:rsidTr="00E10318">
        <w:trPr>
          <w:cantSplit/>
          <w:trHeight w:val="105"/>
          <w:jc w:val="center"/>
        </w:trPr>
        <w:tc>
          <w:tcPr>
            <w:tcW w:w="606"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锌</w:t>
            </w:r>
          </w:p>
        </w:tc>
        <w:tc>
          <w:tcPr>
            <w:tcW w:w="708"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≥12万手</w:t>
            </w:r>
          </w:p>
        </w:tc>
        <w:tc>
          <w:tcPr>
            <w:tcW w:w="993" w:type="dxa"/>
            <w:tcBorders>
              <w:top w:val="single" w:sz="6" w:space="0" w:color="auto"/>
              <w:left w:val="single" w:sz="6" w:space="0" w:color="auto"/>
              <w:bottom w:val="single" w:sz="6" w:space="0" w:color="auto"/>
              <w:right w:val="single" w:sz="4"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25</w:t>
            </w:r>
          </w:p>
        </w:tc>
        <w:tc>
          <w:tcPr>
            <w:tcW w:w="708" w:type="dxa"/>
            <w:tcBorders>
              <w:top w:val="single" w:sz="6" w:space="0" w:color="auto"/>
              <w:left w:val="single" w:sz="4" w:space="0" w:color="auto"/>
              <w:bottom w:val="single" w:sz="6" w:space="0" w:color="auto"/>
              <w:right w:val="single" w:sz="4"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≥12万手</w:t>
            </w:r>
          </w:p>
        </w:tc>
        <w:tc>
          <w:tcPr>
            <w:tcW w:w="851" w:type="dxa"/>
            <w:tcBorders>
              <w:top w:val="single" w:sz="6" w:space="0" w:color="auto"/>
              <w:left w:val="single" w:sz="4"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c>
          <w:tcPr>
            <w:tcW w:w="709"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5</w:t>
            </w:r>
          </w:p>
        </w:tc>
        <w:tc>
          <w:tcPr>
            <w:tcW w:w="1071" w:type="dxa"/>
            <w:tcBorders>
              <w:top w:val="single" w:sz="6" w:space="0" w:color="auto"/>
              <w:left w:val="single" w:sz="4"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1200</w:t>
            </w:r>
          </w:p>
        </w:tc>
        <w:tc>
          <w:tcPr>
            <w:tcW w:w="966"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800</w:t>
            </w:r>
          </w:p>
        </w:tc>
        <w:tc>
          <w:tcPr>
            <w:tcW w:w="1018" w:type="dxa"/>
            <w:tcBorders>
              <w:top w:val="single" w:sz="6" w:space="0" w:color="auto"/>
              <w:left w:val="single" w:sz="4"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500</w:t>
            </w:r>
          </w:p>
        </w:tc>
        <w:tc>
          <w:tcPr>
            <w:tcW w:w="1218"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300</w:t>
            </w:r>
          </w:p>
        </w:tc>
      </w:tr>
      <w:tr w:rsidR="00E10318" w:rsidRPr="00E10318" w:rsidTr="00E10318">
        <w:trPr>
          <w:cantSplit/>
          <w:trHeight w:val="105"/>
          <w:jc w:val="center"/>
        </w:trPr>
        <w:tc>
          <w:tcPr>
            <w:tcW w:w="606"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螺纹钢</w:t>
            </w:r>
          </w:p>
        </w:tc>
        <w:tc>
          <w:tcPr>
            <w:tcW w:w="708"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≥120万手</w:t>
            </w:r>
          </w:p>
        </w:tc>
        <w:tc>
          <w:tcPr>
            <w:tcW w:w="993" w:type="dxa"/>
            <w:tcBorders>
              <w:top w:val="single" w:sz="6" w:space="0" w:color="auto"/>
              <w:left w:val="single" w:sz="6" w:space="0" w:color="auto"/>
              <w:bottom w:val="single" w:sz="6" w:space="0" w:color="auto"/>
              <w:right w:val="single" w:sz="4"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25</w:t>
            </w:r>
          </w:p>
        </w:tc>
        <w:tc>
          <w:tcPr>
            <w:tcW w:w="708" w:type="dxa"/>
            <w:tcBorders>
              <w:top w:val="single" w:sz="6" w:space="0" w:color="auto"/>
              <w:left w:val="single" w:sz="4" w:space="0" w:color="auto"/>
              <w:bottom w:val="single" w:sz="6" w:space="0" w:color="auto"/>
              <w:right w:val="single" w:sz="4"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≥120万手</w:t>
            </w:r>
          </w:p>
        </w:tc>
        <w:tc>
          <w:tcPr>
            <w:tcW w:w="851" w:type="dxa"/>
            <w:tcBorders>
              <w:top w:val="single" w:sz="6" w:space="0" w:color="auto"/>
              <w:left w:val="single" w:sz="4"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c>
          <w:tcPr>
            <w:tcW w:w="709"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5</w:t>
            </w:r>
          </w:p>
        </w:tc>
        <w:tc>
          <w:tcPr>
            <w:tcW w:w="1071" w:type="dxa"/>
            <w:tcBorders>
              <w:top w:val="single" w:sz="6" w:space="0" w:color="auto"/>
              <w:left w:val="single" w:sz="4"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9000</w:t>
            </w:r>
          </w:p>
        </w:tc>
        <w:tc>
          <w:tcPr>
            <w:tcW w:w="966"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3000</w:t>
            </w:r>
          </w:p>
        </w:tc>
        <w:tc>
          <w:tcPr>
            <w:tcW w:w="1018" w:type="dxa"/>
            <w:tcBorders>
              <w:top w:val="single" w:sz="6" w:space="0" w:color="auto"/>
              <w:left w:val="single" w:sz="4"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1800</w:t>
            </w:r>
          </w:p>
        </w:tc>
        <w:tc>
          <w:tcPr>
            <w:tcW w:w="1218"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600</w:t>
            </w:r>
          </w:p>
        </w:tc>
      </w:tr>
      <w:tr w:rsidR="00E10318" w:rsidRPr="00E10318" w:rsidTr="00E10318">
        <w:trPr>
          <w:cantSplit/>
          <w:trHeight w:val="105"/>
          <w:jc w:val="center"/>
        </w:trPr>
        <w:tc>
          <w:tcPr>
            <w:tcW w:w="606"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线材</w:t>
            </w:r>
          </w:p>
        </w:tc>
        <w:tc>
          <w:tcPr>
            <w:tcW w:w="708"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≥45万手</w:t>
            </w:r>
          </w:p>
        </w:tc>
        <w:tc>
          <w:tcPr>
            <w:tcW w:w="993" w:type="dxa"/>
            <w:tcBorders>
              <w:top w:val="single" w:sz="6" w:space="0" w:color="auto"/>
              <w:left w:val="single" w:sz="6" w:space="0" w:color="auto"/>
              <w:bottom w:val="single" w:sz="6" w:space="0" w:color="auto"/>
              <w:right w:val="single" w:sz="4"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25</w:t>
            </w:r>
          </w:p>
        </w:tc>
        <w:tc>
          <w:tcPr>
            <w:tcW w:w="708" w:type="dxa"/>
            <w:tcBorders>
              <w:top w:val="single" w:sz="6" w:space="0" w:color="auto"/>
              <w:left w:val="single" w:sz="4" w:space="0" w:color="auto"/>
              <w:bottom w:val="single" w:sz="6" w:space="0" w:color="auto"/>
              <w:right w:val="single" w:sz="4"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≥45万手</w:t>
            </w:r>
          </w:p>
        </w:tc>
        <w:tc>
          <w:tcPr>
            <w:tcW w:w="851" w:type="dxa"/>
            <w:tcBorders>
              <w:top w:val="single" w:sz="6" w:space="0" w:color="auto"/>
              <w:left w:val="single" w:sz="4"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c>
          <w:tcPr>
            <w:tcW w:w="709"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5</w:t>
            </w:r>
          </w:p>
        </w:tc>
        <w:tc>
          <w:tcPr>
            <w:tcW w:w="1071" w:type="dxa"/>
            <w:tcBorders>
              <w:top w:val="single" w:sz="6" w:space="0" w:color="auto"/>
              <w:left w:val="single" w:sz="4"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6000</w:t>
            </w:r>
          </w:p>
        </w:tc>
        <w:tc>
          <w:tcPr>
            <w:tcW w:w="966"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1800</w:t>
            </w:r>
          </w:p>
        </w:tc>
        <w:tc>
          <w:tcPr>
            <w:tcW w:w="1018" w:type="dxa"/>
            <w:tcBorders>
              <w:top w:val="single" w:sz="6" w:space="0" w:color="auto"/>
              <w:left w:val="single" w:sz="4"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1200</w:t>
            </w:r>
          </w:p>
        </w:tc>
        <w:tc>
          <w:tcPr>
            <w:tcW w:w="1218"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360</w:t>
            </w:r>
          </w:p>
        </w:tc>
      </w:tr>
    </w:tbl>
    <w:p w:rsidR="00E10318" w:rsidRPr="00E10318" w:rsidRDefault="00E10318" w:rsidP="00E10318">
      <w:pPr>
        <w:widowControl/>
        <w:spacing w:before="100" w:beforeAutospacing="1" w:after="100" w:afterAutospacing="1"/>
        <w:ind w:firstLineChars="200" w:firstLine="480"/>
        <w:jc w:val="left"/>
        <w:rPr>
          <w:rFonts w:ascii="宋体" w:eastAsia="宋体" w:hAnsi="宋体" w:cs="宋体"/>
          <w:kern w:val="0"/>
          <w:sz w:val="24"/>
          <w:szCs w:val="24"/>
        </w:rPr>
      </w:pPr>
      <w:r w:rsidRPr="00E10318">
        <w:rPr>
          <w:rFonts w:ascii="仿宋" w:eastAsia="仿宋" w:hAnsi="仿宋" w:cs="宋体" w:hint="eastAsia"/>
          <w:kern w:val="0"/>
          <w:sz w:val="24"/>
          <w:szCs w:val="24"/>
        </w:rPr>
        <w:t>注：表中某一期货合约持仓量为双向计算，期货公司会员、非期货公司会员、客户的限仓比例与限仓数额为单向计算；期货公司会员的限仓比例为基数。</w:t>
      </w:r>
    </w:p>
    <w:p w:rsidR="00E10318" w:rsidRPr="00E10318" w:rsidRDefault="00E10318" w:rsidP="00E10318">
      <w:pPr>
        <w:widowControl/>
        <w:spacing w:before="100" w:beforeAutospacing="1" w:after="100" w:afterAutospacing="1"/>
        <w:ind w:firstLineChars="200" w:firstLine="480"/>
        <w:jc w:val="left"/>
        <w:rPr>
          <w:rFonts w:ascii="宋体" w:eastAsia="宋体" w:hAnsi="宋体" w:cs="宋体"/>
          <w:kern w:val="0"/>
          <w:sz w:val="24"/>
          <w:szCs w:val="24"/>
        </w:rPr>
      </w:pPr>
      <w:r w:rsidRPr="00E10318">
        <w:rPr>
          <w:rFonts w:ascii="宋体" w:eastAsia="宋体" w:hAnsi="宋体" w:cs="宋体" w:hint="eastAsia"/>
          <w:kern w:val="0"/>
          <w:sz w:val="24"/>
          <w:szCs w:val="24"/>
          <w:shd w:val="clear" w:color="auto" w:fill="FFFF00"/>
        </w:rPr>
        <w:t> </w:t>
      </w:r>
    </w:p>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
          <w:bCs/>
          <w:spacing w:val="-20"/>
          <w:kern w:val="0"/>
          <w:sz w:val="24"/>
          <w:szCs w:val="24"/>
        </w:rPr>
        <w:t>表二十九 燃料油期货合约在不同时期的限仓比例和限仓数额规定</w:t>
      </w:r>
    </w:p>
    <w:p w:rsidR="00E10318" w:rsidRPr="00E10318" w:rsidRDefault="00E10318" w:rsidP="00E10318">
      <w:pPr>
        <w:widowControl/>
        <w:spacing w:before="100" w:beforeAutospacing="1" w:after="100" w:afterAutospacing="1"/>
        <w:ind w:firstLineChars="1800" w:firstLine="4320"/>
        <w:jc w:val="right"/>
        <w:rPr>
          <w:rFonts w:ascii="宋体" w:eastAsia="宋体" w:hAnsi="宋体" w:cs="宋体"/>
          <w:kern w:val="0"/>
          <w:sz w:val="24"/>
          <w:szCs w:val="24"/>
        </w:rPr>
      </w:pPr>
      <w:r w:rsidRPr="00E10318">
        <w:rPr>
          <w:rFonts w:ascii="仿宋" w:eastAsia="仿宋" w:hAnsi="仿宋" w:cs="宋体" w:hint="eastAsia"/>
          <w:kern w:val="0"/>
          <w:sz w:val="24"/>
          <w:szCs w:val="24"/>
        </w:rPr>
        <w:t>（单位：手）</w:t>
      </w:r>
    </w:p>
    <w:tbl>
      <w:tblPr>
        <w:tblW w:w="8700" w:type="dxa"/>
        <w:jc w:val="center"/>
        <w:tblInd w:w="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741"/>
        <w:gridCol w:w="1378"/>
        <w:gridCol w:w="1504"/>
        <w:gridCol w:w="1014"/>
        <w:gridCol w:w="773"/>
        <w:gridCol w:w="906"/>
        <w:gridCol w:w="743"/>
        <w:gridCol w:w="994"/>
        <w:gridCol w:w="647"/>
      </w:tblGrid>
      <w:tr w:rsidR="00E10318" w:rsidRPr="00E10318" w:rsidTr="00E10318">
        <w:trPr>
          <w:cantSplit/>
          <w:trHeight w:val="737"/>
          <w:jc w:val="center"/>
        </w:trPr>
        <w:tc>
          <w:tcPr>
            <w:tcW w:w="741" w:type="dxa"/>
            <w:vMerge w:val="restart"/>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宋体" w:eastAsia="宋体" w:hAnsi="宋体" w:cs="宋体" w:hint="eastAsia"/>
                <w:kern w:val="0"/>
                <w:sz w:val="24"/>
                <w:szCs w:val="24"/>
              </w:rPr>
              <w:t> </w:t>
            </w:r>
          </w:p>
        </w:tc>
        <w:tc>
          <w:tcPr>
            <w:tcW w:w="2884" w:type="dxa"/>
            <w:gridSpan w:val="2"/>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合约挂牌至交割月前第一月</w:t>
            </w:r>
          </w:p>
        </w:tc>
        <w:tc>
          <w:tcPr>
            <w:tcW w:w="1789" w:type="dxa"/>
            <w:gridSpan w:val="2"/>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合约挂牌至交割月前第三月的最后一个交易日</w:t>
            </w:r>
          </w:p>
        </w:tc>
        <w:tc>
          <w:tcPr>
            <w:tcW w:w="1651" w:type="dxa"/>
            <w:gridSpan w:val="2"/>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交割月前第二月</w:t>
            </w:r>
          </w:p>
        </w:tc>
        <w:tc>
          <w:tcPr>
            <w:tcW w:w="1642" w:type="dxa"/>
            <w:gridSpan w:val="2"/>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交割月前第一月</w:t>
            </w:r>
          </w:p>
        </w:tc>
      </w:tr>
      <w:tr w:rsidR="00E10318" w:rsidRPr="00E10318" w:rsidTr="00E10318">
        <w:trPr>
          <w:cantSplit/>
          <w:trHeight w:val="483"/>
          <w:jc w:val="center"/>
        </w:trPr>
        <w:tc>
          <w:tcPr>
            <w:tcW w:w="741" w:type="dxa"/>
            <w:vMerge/>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jc w:val="left"/>
              <w:rPr>
                <w:rFonts w:ascii="宋体" w:eastAsia="宋体" w:hAnsi="宋体" w:cs="宋体"/>
                <w:kern w:val="0"/>
                <w:sz w:val="24"/>
                <w:szCs w:val="24"/>
              </w:rPr>
            </w:pPr>
          </w:p>
        </w:tc>
        <w:tc>
          <w:tcPr>
            <w:tcW w:w="1379" w:type="dxa"/>
            <w:vMerge w:val="restart"/>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某一</w:t>
            </w:r>
          </w:p>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期货合约</w:t>
            </w:r>
          </w:p>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持仓量</w:t>
            </w:r>
          </w:p>
        </w:tc>
        <w:tc>
          <w:tcPr>
            <w:tcW w:w="1505"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限仓比例（</w:t>
            </w:r>
            <w:r w:rsidRPr="00E10318">
              <w:rPr>
                <w:rFonts w:ascii="Symbol" w:eastAsia="宋体" w:hAnsi="Symbol" w:cs="宋体"/>
                <w:kern w:val="0"/>
                <w:sz w:val="24"/>
                <w:szCs w:val="24"/>
              </w:rPr>
              <w:t></w:t>
            </w:r>
            <w:r w:rsidRPr="00E10318">
              <w:rPr>
                <w:rFonts w:ascii="仿宋" w:eastAsia="仿宋" w:hAnsi="仿宋" w:cs="宋体" w:hint="eastAsia"/>
                <w:kern w:val="0"/>
                <w:sz w:val="24"/>
                <w:szCs w:val="24"/>
              </w:rPr>
              <w:t>）</w:t>
            </w:r>
          </w:p>
        </w:tc>
        <w:tc>
          <w:tcPr>
            <w:tcW w:w="1789" w:type="dxa"/>
            <w:gridSpan w:val="2"/>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限仓数额（手）</w:t>
            </w:r>
          </w:p>
        </w:tc>
        <w:tc>
          <w:tcPr>
            <w:tcW w:w="1651" w:type="dxa"/>
            <w:gridSpan w:val="2"/>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限仓数额（手）</w:t>
            </w:r>
          </w:p>
        </w:tc>
        <w:tc>
          <w:tcPr>
            <w:tcW w:w="1642" w:type="dxa"/>
            <w:gridSpan w:val="2"/>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限仓数额（手）</w:t>
            </w:r>
          </w:p>
        </w:tc>
      </w:tr>
      <w:tr w:rsidR="00E10318" w:rsidRPr="00E10318" w:rsidTr="00E10318">
        <w:trPr>
          <w:cantSplit/>
          <w:trHeight w:val="697"/>
          <w:jc w:val="center"/>
        </w:trPr>
        <w:tc>
          <w:tcPr>
            <w:tcW w:w="741" w:type="dxa"/>
            <w:vMerge/>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jc w:val="left"/>
              <w:rPr>
                <w:rFonts w:ascii="宋体" w:eastAsia="宋体" w:hAnsi="宋体" w:cs="宋体"/>
                <w:kern w:val="0"/>
                <w:sz w:val="24"/>
                <w:szCs w:val="24"/>
              </w:rPr>
            </w:pPr>
          </w:p>
        </w:tc>
        <w:tc>
          <w:tcPr>
            <w:tcW w:w="2884" w:type="dxa"/>
            <w:vMerge/>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jc w:val="left"/>
              <w:rPr>
                <w:rFonts w:ascii="宋体" w:eastAsia="宋体" w:hAnsi="宋体" w:cs="宋体"/>
                <w:kern w:val="0"/>
                <w:sz w:val="24"/>
                <w:szCs w:val="24"/>
              </w:rPr>
            </w:pPr>
          </w:p>
        </w:tc>
        <w:tc>
          <w:tcPr>
            <w:tcW w:w="1505"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期货公司</w:t>
            </w:r>
          </w:p>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会员</w:t>
            </w:r>
          </w:p>
        </w:tc>
        <w:tc>
          <w:tcPr>
            <w:tcW w:w="1015"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非期货公司会员</w:t>
            </w:r>
          </w:p>
        </w:tc>
        <w:tc>
          <w:tcPr>
            <w:tcW w:w="774"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客户</w:t>
            </w:r>
          </w:p>
        </w:tc>
        <w:tc>
          <w:tcPr>
            <w:tcW w:w="907"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非期货</w:t>
            </w:r>
          </w:p>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公司会员</w:t>
            </w:r>
          </w:p>
        </w:tc>
        <w:tc>
          <w:tcPr>
            <w:tcW w:w="744"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客户</w:t>
            </w:r>
          </w:p>
        </w:tc>
        <w:tc>
          <w:tcPr>
            <w:tcW w:w="995"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非期货</w:t>
            </w:r>
          </w:p>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公司会员</w:t>
            </w:r>
          </w:p>
        </w:tc>
        <w:tc>
          <w:tcPr>
            <w:tcW w:w="647"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客户</w:t>
            </w:r>
          </w:p>
        </w:tc>
      </w:tr>
      <w:tr w:rsidR="00E10318" w:rsidRPr="00E10318" w:rsidTr="00E10318">
        <w:trPr>
          <w:cantSplit/>
          <w:trHeight w:val="649"/>
          <w:jc w:val="center"/>
        </w:trPr>
        <w:tc>
          <w:tcPr>
            <w:tcW w:w="741"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燃料油</w:t>
            </w:r>
          </w:p>
        </w:tc>
        <w:tc>
          <w:tcPr>
            <w:tcW w:w="1379"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≥10万手</w:t>
            </w:r>
          </w:p>
        </w:tc>
        <w:tc>
          <w:tcPr>
            <w:tcW w:w="1505"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25</w:t>
            </w:r>
          </w:p>
        </w:tc>
        <w:tc>
          <w:tcPr>
            <w:tcW w:w="1015"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500</w:t>
            </w:r>
          </w:p>
        </w:tc>
        <w:tc>
          <w:tcPr>
            <w:tcW w:w="774"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500</w:t>
            </w:r>
          </w:p>
        </w:tc>
        <w:tc>
          <w:tcPr>
            <w:tcW w:w="907"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300</w:t>
            </w:r>
          </w:p>
        </w:tc>
        <w:tc>
          <w:tcPr>
            <w:tcW w:w="744"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300</w:t>
            </w:r>
          </w:p>
        </w:tc>
        <w:tc>
          <w:tcPr>
            <w:tcW w:w="995"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100</w:t>
            </w:r>
          </w:p>
        </w:tc>
        <w:tc>
          <w:tcPr>
            <w:tcW w:w="647"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100</w:t>
            </w:r>
          </w:p>
        </w:tc>
      </w:tr>
    </w:tbl>
    <w:p w:rsidR="00E10318" w:rsidRPr="00E10318" w:rsidRDefault="00E10318" w:rsidP="00E10318">
      <w:pPr>
        <w:widowControl/>
        <w:spacing w:before="100" w:beforeAutospacing="1" w:after="100" w:afterAutospacing="1"/>
        <w:ind w:firstLineChars="200" w:firstLine="480"/>
        <w:jc w:val="left"/>
        <w:rPr>
          <w:rFonts w:ascii="宋体" w:eastAsia="宋体" w:hAnsi="宋体" w:cs="宋体"/>
          <w:kern w:val="0"/>
          <w:sz w:val="24"/>
          <w:szCs w:val="24"/>
        </w:rPr>
      </w:pPr>
      <w:r w:rsidRPr="00E10318">
        <w:rPr>
          <w:rFonts w:ascii="仿宋" w:eastAsia="仿宋" w:hAnsi="仿宋" w:cs="宋体" w:hint="eastAsia"/>
          <w:kern w:val="0"/>
          <w:sz w:val="24"/>
          <w:szCs w:val="24"/>
        </w:rPr>
        <w:t>注：表中某一期货合约持仓量为双向计算，</w:t>
      </w:r>
      <w:r w:rsidRPr="00E10318">
        <w:rPr>
          <w:rFonts w:ascii="仿宋" w:eastAsia="仿宋" w:hAnsi="仿宋" w:cs="宋体" w:hint="eastAsia"/>
          <w:bCs/>
          <w:kern w:val="0"/>
          <w:sz w:val="24"/>
          <w:szCs w:val="21"/>
        </w:rPr>
        <w:t>期货公司会员、非期货公司会员、客户的限仓比例与限仓数额为单向计算；期货公司会员的限仓比例为基数。</w:t>
      </w:r>
    </w:p>
    <w:p w:rsidR="00E10318" w:rsidRPr="00E10318" w:rsidRDefault="00E10318" w:rsidP="00E10318">
      <w:pPr>
        <w:widowControl/>
        <w:spacing w:before="100" w:beforeAutospacing="1" w:after="100" w:afterAutospacing="1"/>
        <w:jc w:val="left"/>
        <w:rPr>
          <w:rFonts w:ascii="宋体" w:eastAsia="宋体" w:hAnsi="宋体" w:cs="宋体"/>
          <w:kern w:val="0"/>
          <w:sz w:val="24"/>
          <w:szCs w:val="24"/>
        </w:rPr>
      </w:pPr>
      <w:r w:rsidRPr="00E10318">
        <w:rPr>
          <w:rFonts w:ascii="宋体" w:eastAsia="宋体" w:hAnsi="宋体" w:cs="宋体" w:hint="eastAsia"/>
          <w:kern w:val="0"/>
          <w:sz w:val="24"/>
          <w:szCs w:val="24"/>
        </w:rPr>
        <w:t> </w:t>
      </w:r>
    </w:p>
    <w:p w:rsidR="00E10318" w:rsidRPr="00E10318" w:rsidRDefault="00E10318" w:rsidP="00E10318">
      <w:pPr>
        <w:widowControl/>
        <w:spacing w:before="100" w:beforeAutospacing="1" w:after="100" w:afterAutospacing="1"/>
        <w:jc w:val="left"/>
        <w:rPr>
          <w:rFonts w:ascii="宋体" w:eastAsia="宋体" w:hAnsi="宋体" w:cs="宋体"/>
          <w:kern w:val="0"/>
          <w:sz w:val="24"/>
          <w:szCs w:val="24"/>
        </w:rPr>
      </w:pPr>
      <w:r w:rsidRPr="00E10318">
        <w:rPr>
          <w:rFonts w:ascii="宋体" w:eastAsia="宋体" w:hAnsi="宋体" w:cs="宋体" w:hint="eastAsia"/>
          <w:kern w:val="0"/>
          <w:sz w:val="24"/>
          <w:szCs w:val="24"/>
        </w:rPr>
        <w:t> </w:t>
      </w:r>
    </w:p>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
          <w:bCs/>
          <w:spacing w:val="-20"/>
          <w:kern w:val="0"/>
          <w:sz w:val="24"/>
          <w:szCs w:val="24"/>
        </w:rPr>
        <w:t>表三十</w:t>
      </w:r>
      <w:r w:rsidRPr="00E10318">
        <w:rPr>
          <w:rFonts w:ascii="宋体" w:eastAsia="宋体" w:hAnsi="宋体" w:cs="宋体" w:hint="eastAsia"/>
          <w:b/>
          <w:bCs/>
          <w:spacing w:val="-20"/>
          <w:kern w:val="0"/>
          <w:sz w:val="24"/>
          <w:szCs w:val="24"/>
        </w:rPr>
        <w:t> </w:t>
      </w:r>
      <w:r w:rsidRPr="00E10318">
        <w:rPr>
          <w:rFonts w:ascii="仿宋" w:eastAsia="仿宋" w:hAnsi="仿宋" w:cs="仿宋" w:hint="eastAsia"/>
          <w:b/>
          <w:bCs/>
          <w:spacing w:val="-20"/>
          <w:kern w:val="0"/>
          <w:sz w:val="24"/>
          <w:szCs w:val="24"/>
        </w:rPr>
        <w:t xml:space="preserve"> </w:t>
      </w:r>
      <w:r w:rsidRPr="00E10318">
        <w:rPr>
          <w:rFonts w:ascii="仿宋" w:eastAsia="仿宋" w:hAnsi="仿宋" w:cs="宋体" w:hint="eastAsia"/>
          <w:b/>
          <w:bCs/>
          <w:spacing w:val="-20"/>
          <w:kern w:val="0"/>
          <w:sz w:val="24"/>
          <w:szCs w:val="24"/>
        </w:rPr>
        <w:t>铅、镍、锡、天然橡胶、石油沥青、黄金、白银、热轧卷板期货合约在不同时期的限仓比例和限仓数额规定</w:t>
      </w:r>
    </w:p>
    <w:p w:rsidR="00E10318" w:rsidRPr="00E10318" w:rsidRDefault="00E10318" w:rsidP="00E10318">
      <w:pPr>
        <w:widowControl/>
        <w:spacing w:before="100" w:beforeAutospacing="1" w:after="100" w:afterAutospacing="1"/>
        <w:ind w:firstLineChars="1800" w:firstLine="4320"/>
        <w:jc w:val="right"/>
        <w:rPr>
          <w:rFonts w:ascii="宋体" w:eastAsia="宋体" w:hAnsi="宋体" w:cs="宋体"/>
          <w:kern w:val="0"/>
          <w:sz w:val="24"/>
          <w:szCs w:val="24"/>
        </w:rPr>
      </w:pPr>
      <w:r w:rsidRPr="00E10318">
        <w:rPr>
          <w:rFonts w:ascii="仿宋" w:eastAsia="仿宋" w:hAnsi="仿宋" w:cs="宋体" w:hint="eastAsia"/>
          <w:kern w:val="0"/>
          <w:sz w:val="24"/>
          <w:szCs w:val="24"/>
        </w:rPr>
        <w:t>（单位：手）</w:t>
      </w:r>
    </w:p>
    <w:tbl>
      <w:tblPr>
        <w:tblW w:w="8715" w:type="dxa"/>
        <w:jc w:val="center"/>
        <w:tblInd w:w="4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645"/>
        <w:gridCol w:w="783"/>
        <w:gridCol w:w="1795"/>
        <w:gridCol w:w="1508"/>
        <w:gridCol w:w="762"/>
        <w:gridCol w:w="1029"/>
        <w:gridCol w:w="550"/>
        <w:gridCol w:w="1102"/>
        <w:gridCol w:w="541"/>
      </w:tblGrid>
      <w:tr w:rsidR="00E10318" w:rsidRPr="00E10318" w:rsidTr="00E10318">
        <w:trPr>
          <w:cantSplit/>
          <w:trHeight w:val="737"/>
          <w:jc w:val="center"/>
        </w:trPr>
        <w:tc>
          <w:tcPr>
            <w:tcW w:w="645" w:type="dxa"/>
            <w:vMerge w:val="restart"/>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宋体" w:eastAsia="宋体" w:hAnsi="宋体" w:cs="宋体" w:hint="eastAsia"/>
                <w:kern w:val="0"/>
                <w:sz w:val="24"/>
                <w:szCs w:val="24"/>
              </w:rPr>
              <w:t> </w:t>
            </w:r>
          </w:p>
        </w:tc>
        <w:tc>
          <w:tcPr>
            <w:tcW w:w="2576" w:type="dxa"/>
            <w:gridSpan w:val="2"/>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合约挂牌至交割月份</w:t>
            </w:r>
          </w:p>
        </w:tc>
        <w:tc>
          <w:tcPr>
            <w:tcW w:w="2268" w:type="dxa"/>
            <w:gridSpan w:val="2"/>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合约挂牌至交割月前第二月的最后一个交易日</w:t>
            </w:r>
          </w:p>
        </w:tc>
        <w:tc>
          <w:tcPr>
            <w:tcW w:w="1578" w:type="dxa"/>
            <w:gridSpan w:val="2"/>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交割月前第一月</w:t>
            </w:r>
          </w:p>
        </w:tc>
        <w:tc>
          <w:tcPr>
            <w:tcW w:w="1642" w:type="dxa"/>
            <w:gridSpan w:val="2"/>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交割月份</w:t>
            </w:r>
          </w:p>
        </w:tc>
      </w:tr>
      <w:tr w:rsidR="00E10318" w:rsidRPr="00E10318" w:rsidTr="00E10318">
        <w:trPr>
          <w:cantSplit/>
          <w:trHeight w:val="483"/>
          <w:jc w:val="center"/>
        </w:trPr>
        <w:tc>
          <w:tcPr>
            <w:tcW w:w="645" w:type="dxa"/>
            <w:vMerge/>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jc w:val="left"/>
              <w:rPr>
                <w:rFonts w:ascii="宋体" w:eastAsia="宋体" w:hAnsi="宋体" w:cs="宋体"/>
                <w:kern w:val="0"/>
                <w:sz w:val="24"/>
                <w:szCs w:val="24"/>
              </w:rPr>
            </w:pPr>
          </w:p>
        </w:tc>
        <w:tc>
          <w:tcPr>
            <w:tcW w:w="782" w:type="dxa"/>
            <w:vMerge w:val="restart"/>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某一</w:t>
            </w:r>
          </w:p>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期货合约</w:t>
            </w:r>
          </w:p>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持仓量</w:t>
            </w:r>
          </w:p>
        </w:tc>
        <w:tc>
          <w:tcPr>
            <w:tcW w:w="1794"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限仓比例（</w:t>
            </w:r>
            <w:r w:rsidRPr="00E10318">
              <w:rPr>
                <w:rFonts w:ascii="Symbol" w:eastAsia="宋体" w:hAnsi="Symbol" w:cs="宋体"/>
                <w:kern w:val="0"/>
                <w:sz w:val="24"/>
                <w:szCs w:val="24"/>
              </w:rPr>
              <w:t></w:t>
            </w:r>
            <w:r w:rsidRPr="00E10318">
              <w:rPr>
                <w:rFonts w:ascii="仿宋" w:eastAsia="仿宋" w:hAnsi="仿宋" w:cs="宋体" w:hint="eastAsia"/>
                <w:kern w:val="0"/>
                <w:sz w:val="24"/>
                <w:szCs w:val="24"/>
              </w:rPr>
              <w:t>）</w:t>
            </w:r>
          </w:p>
        </w:tc>
        <w:tc>
          <w:tcPr>
            <w:tcW w:w="2268" w:type="dxa"/>
            <w:gridSpan w:val="2"/>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限仓数额（手）</w:t>
            </w:r>
          </w:p>
        </w:tc>
        <w:tc>
          <w:tcPr>
            <w:tcW w:w="1578" w:type="dxa"/>
            <w:gridSpan w:val="2"/>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限仓数额（手）</w:t>
            </w:r>
          </w:p>
        </w:tc>
        <w:tc>
          <w:tcPr>
            <w:tcW w:w="1642" w:type="dxa"/>
            <w:gridSpan w:val="2"/>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限仓数额（手）</w:t>
            </w:r>
          </w:p>
        </w:tc>
      </w:tr>
      <w:tr w:rsidR="00E10318" w:rsidRPr="00E10318" w:rsidTr="00E10318">
        <w:trPr>
          <w:cantSplit/>
          <w:trHeight w:val="697"/>
          <w:jc w:val="center"/>
        </w:trPr>
        <w:tc>
          <w:tcPr>
            <w:tcW w:w="645" w:type="dxa"/>
            <w:vMerge/>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jc w:val="left"/>
              <w:rPr>
                <w:rFonts w:ascii="宋体" w:eastAsia="宋体" w:hAnsi="宋体" w:cs="宋体"/>
                <w:kern w:val="0"/>
                <w:sz w:val="24"/>
                <w:szCs w:val="24"/>
              </w:rPr>
            </w:pPr>
          </w:p>
        </w:tc>
        <w:tc>
          <w:tcPr>
            <w:tcW w:w="2576" w:type="dxa"/>
            <w:vMerge/>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jc w:val="left"/>
              <w:rPr>
                <w:rFonts w:ascii="宋体" w:eastAsia="宋体" w:hAnsi="宋体" w:cs="宋体"/>
                <w:kern w:val="0"/>
                <w:sz w:val="24"/>
                <w:szCs w:val="24"/>
              </w:rPr>
            </w:pPr>
          </w:p>
        </w:tc>
        <w:tc>
          <w:tcPr>
            <w:tcW w:w="1794"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期货公司</w:t>
            </w:r>
          </w:p>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会员</w:t>
            </w:r>
          </w:p>
        </w:tc>
        <w:tc>
          <w:tcPr>
            <w:tcW w:w="1507"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非期货公司会员</w:t>
            </w:r>
          </w:p>
        </w:tc>
        <w:tc>
          <w:tcPr>
            <w:tcW w:w="761"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客户</w:t>
            </w:r>
          </w:p>
        </w:tc>
        <w:tc>
          <w:tcPr>
            <w:tcW w:w="1028"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非期货公司会员</w:t>
            </w:r>
          </w:p>
        </w:tc>
        <w:tc>
          <w:tcPr>
            <w:tcW w:w="550"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客户</w:t>
            </w:r>
          </w:p>
        </w:tc>
        <w:tc>
          <w:tcPr>
            <w:tcW w:w="1101"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非期货公司会员</w:t>
            </w:r>
          </w:p>
        </w:tc>
        <w:tc>
          <w:tcPr>
            <w:tcW w:w="541"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客户</w:t>
            </w:r>
          </w:p>
        </w:tc>
      </w:tr>
      <w:tr w:rsidR="00E10318" w:rsidRPr="00E10318" w:rsidTr="00E10318">
        <w:trPr>
          <w:cantSplit/>
          <w:trHeight w:val="649"/>
          <w:jc w:val="center"/>
        </w:trPr>
        <w:tc>
          <w:tcPr>
            <w:tcW w:w="645"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铅</w:t>
            </w:r>
          </w:p>
        </w:tc>
        <w:tc>
          <w:tcPr>
            <w:tcW w:w="782"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≥20万手</w:t>
            </w:r>
          </w:p>
        </w:tc>
        <w:tc>
          <w:tcPr>
            <w:tcW w:w="1794"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25</w:t>
            </w:r>
          </w:p>
        </w:tc>
        <w:tc>
          <w:tcPr>
            <w:tcW w:w="1507"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2500</w:t>
            </w:r>
          </w:p>
        </w:tc>
        <w:tc>
          <w:tcPr>
            <w:tcW w:w="761"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2500</w:t>
            </w:r>
          </w:p>
        </w:tc>
        <w:tc>
          <w:tcPr>
            <w:tcW w:w="1028"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1000</w:t>
            </w:r>
          </w:p>
        </w:tc>
        <w:tc>
          <w:tcPr>
            <w:tcW w:w="550"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1000</w:t>
            </w:r>
          </w:p>
        </w:tc>
        <w:tc>
          <w:tcPr>
            <w:tcW w:w="1101"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300</w:t>
            </w:r>
          </w:p>
        </w:tc>
        <w:tc>
          <w:tcPr>
            <w:tcW w:w="541"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300</w:t>
            </w:r>
          </w:p>
        </w:tc>
      </w:tr>
      <w:tr w:rsidR="00E10318" w:rsidRPr="00E10318" w:rsidTr="00E10318">
        <w:trPr>
          <w:cantSplit/>
          <w:trHeight w:val="649"/>
          <w:jc w:val="center"/>
        </w:trPr>
        <w:tc>
          <w:tcPr>
            <w:tcW w:w="645"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镍</w:t>
            </w:r>
          </w:p>
        </w:tc>
        <w:tc>
          <w:tcPr>
            <w:tcW w:w="782"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≥24万手</w:t>
            </w:r>
          </w:p>
        </w:tc>
        <w:tc>
          <w:tcPr>
            <w:tcW w:w="1794"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25</w:t>
            </w:r>
          </w:p>
        </w:tc>
        <w:tc>
          <w:tcPr>
            <w:tcW w:w="1507"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9000</w:t>
            </w:r>
          </w:p>
        </w:tc>
        <w:tc>
          <w:tcPr>
            <w:tcW w:w="761"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9000</w:t>
            </w:r>
          </w:p>
        </w:tc>
        <w:tc>
          <w:tcPr>
            <w:tcW w:w="1028"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3000</w:t>
            </w:r>
          </w:p>
        </w:tc>
        <w:tc>
          <w:tcPr>
            <w:tcW w:w="550"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3000</w:t>
            </w:r>
          </w:p>
        </w:tc>
        <w:tc>
          <w:tcPr>
            <w:tcW w:w="1101"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600</w:t>
            </w:r>
          </w:p>
        </w:tc>
        <w:tc>
          <w:tcPr>
            <w:tcW w:w="541"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600</w:t>
            </w:r>
          </w:p>
        </w:tc>
      </w:tr>
      <w:tr w:rsidR="00E10318" w:rsidRPr="00E10318" w:rsidTr="00E10318">
        <w:trPr>
          <w:cantSplit/>
          <w:trHeight w:val="649"/>
          <w:jc w:val="center"/>
        </w:trPr>
        <w:tc>
          <w:tcPr>
            <w:tcW w:w="645"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锡</w:t>
            </w:r>
          </w:p>
        </w:tc>
        <w:tc>
          <w:tcPr>
            <w:tcW w:w="782"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≥6万手</w:t>
            </w:r>
          </w:p>
        </w:tc>
        <w:tc>
          <w:tcPr>
            <w:tcW w:w="1794"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25</w:t>
            </w:r>
          </w:p>
        </w:tc>
        <w:tc>
          <w:tcPr>
            <w:tcW w:w="1507"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2000</w:t>
            </w:r>
          </w:p>
        </w:tc>
        <w:tc>
          <w:tcPr>
            <w:tcW w:w="761"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2000</w:t>
            </w:r>
          </w:p>
        </w:tc>
        <w:tc>
          <w:tcPr>
            <w:tcW w:w="1028"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600</w:t>
            </w:r>
          </w:p>
        </w:tc>
        <w:tc>
          <w:tcPr>
            <w:tcW w:w="550"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600</w:t>
            </w:r>
          </w:p>
        </w:tc>
        <w:tc>
          <w:tcPr>
            <w:tcW w:w="1101"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200</w:t>
            </w:r>
          </w:p>
        </w:tc>
        <w:tc>
          <w:tcPr>
            <w:tcW w:w="541"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200</w:t>
            </w:r>
          </w:p>
        </w:tc>
      </w:tr>
      <w:tr w:rsidR="00E10318" w:rsidRPr="00E10318" w:rsidTr="00E10318">
        <w:trPr>
          <w:cantSplit/>
          <w:trHeight w:val="649"/>
          <w:jc w:val="center"/>
        </w:trPr>
        <w:tc>
          <w:tcPr>
            <w:tcW w:w="645"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天然橡胶</w:t>
            </w:r>
          </w:p>
        </w:tc>
        <w:tc>
          <w:tcPr>
            <w:tcW w:w="782"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≥5万手</w:t>
            </w:r>
          </w:p>
        </w:tc>
        <w:tc>
          <w:tcPr>
            <w:tcW w:w="1794"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25</w:t>
            </w:r>
          </w:p>
        </w:tc>
        <w:tc>
          <w:tcPr>
            <w:tcW w:w="1507"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500</w:t>
            </w:r>
          </w:p>
        </w:tc>
        <w:tc>
          <w:tcPr>
            <w:tcW w:w="761"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500</w:t>
            </w:r>
          </w:p>
        </w:tc>
        <w:tc>
          <w:tcPr>
            <w:tcW w:w="1028"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150</w:t>
            </w:r>
          </w:p>
        </w:tc>
        <w:tc>
          <w:tcPr>
            <w:tcW w:w="550"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150</w:t>
            </w:r>
          </w:p>
        </w:tc>
        <w:tc>
          <w:tcPr>
            <w:tcW w:w="1101"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50</w:t>
            </w:r>
          </w:p>
        </w:tc>
        <w:tc>
          <w:tcPr>
            <w:tcW w:w="541"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50</w:t>
            </w:r>
          </w:p>
        </w:tc>
      </w:tr>
      <w:tr w:rsidR="00E10318" w:rsidRPr="00E10318" w:rsidTr="00E10318">
        <w:trPr>
          <w:cantSplit/>
          <w:trHeight w:val="649"/>
          <w:jc w:val="center"/>
        </w:trPr>
        <w:tc>
          <w:tcPr>
            <w:tcW w:w="645"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石油沥青</w:t>
            </w:r>
          </w:p>
        </w:tc>
        <w:tc>
          <w:tcPr>
            <w:tcW w:w="782"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≥30万手</w:t>
            </w:r>
          </w:p>
        </w:tc>
        <w:tc>
          <w:tcPr>
            <w:tcW w:w="1794"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25</w:t>
            </w:r>
          </w:p>
        </w:tc>
        <w:tc>
          <w:tcPr>
            <w:tcW w:w="1507"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8000</w:t>
            </w:r>
          </w:p>
        </w:tc>
        <w:tc>
          <w:tcPr>
            <w:tcW w:w="761"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8000</w:t>
            </w:r>
          </w:p>
        </w:tc>
        <w:tc>
          <w:tcPr>
            <w:tcW w:w="1028"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1500</w:t>
            </w:r>
          </w:p>
        </w:tc>
        <w:tc>
          <w:tcPr>
            <w:tcW w:w="550"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1500</w:t>
            </w:r>
          </w:p>
        </w:tc>
        <w:tc>
          <w:tcPr>
            <w:tcW w:w="1101"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500</w:t>
            </w:r>
          </w:p>
        </w:tc>
        <w:tc>
          <w:tcPr>
            <w:tcW w:w="541"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500</w:t>
            </w:r>
          </w:p>
        </w:tc>
      </w:tr>
      <w:tr w:rsidR="00E10318" w:rsidRPr="00E10318" w:rsidTr="00E10318">
        <w:trPr>
          <w:cantSplit/>
          <w:trHeight w:val="649"/>
          <w:jc w:val="center"/>
        </w:trPr>
        <w:tc>
          <w:tcPr>
            <w:tcW w:w="645"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黄金</w:t>
            </w:r>
          </w:p>
        </w:tc>
        <w:tc>
          <w:tcPr>
            <w:tcW w:w="782"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≥16万手</w:t>
            </w:r>
          </w:p>
        </w:tc>
        <w:tc>
          <w:tcPr>
            <w:tcW w:w="1794"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25</w:t>
            </w:r>
          </w:p>
        </w:tc>
        <w:tc>
          <w:tcPr>
            <w:tcW w:w="1507"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3000</w:t>
            </w:r>
          </w:p>
        </w:tc>
        <w:tc>
          <w:tcPr>
            <w:tcW w:w="761"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3000</w:t>
            </w:r>
          </w:p>
        </w:tc>
        <w:tc>
          <w:tcPr>
            <w:tcW w:w="1028"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900</w:t>
            </w:r>
          </w:p>
        </w:tc>
        <w:tc>
          <w:tcPr>
            <w:tcW w:w="550"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900</w:t>
            </w:r>
          </w:p>
        </w:tc>
        <w:tc>
          <w:tcPr>
            <w:tcW w:w="1101"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300</w:t>
            </w:r>
          </w:p>
        </w:tc>
        <w:tc>
          <w:tcPr>
            <w:tcW w:w="541"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300</w:t>
            </w:r>
          </w:p>
        </w:tc>
      </w:tr>
      <w:tr w:rsidR="00E10318" w:rsidRPr="00E10318" w:rsidTr="00E10318">
        <w:trPr>
          <w:cantSplit/>
          <w:trHeight w:val="649"/>
          <w:jc w:val="center"/>
        </w:trPr>
        <w:tc>
          <w:tcPr>
            <w:tcW w:w="645"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白银</w:t>
            </w:r>
          </w:p>
        </w:tc>
        <w:tc>
          <w:tcPr>
            <w:tcW w:w="782"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≥30万手</w:t>
            </w:r>
          </w:p>
        </w:tc>
        <w:tc>
          <w:tcPr>
            <w:tcW w:w="1794"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25</w:t>
            </w:r>
          </w:p>
        </w:tc>
        <w:tc>
          <w:tcPr>
            <w:tcW w:w="1507"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6000</w:t>
            </w:r>
          </w:p>
        </w:tc>
        <w:tc>
          <w:tcPr>
            <w:tcW w:w="761"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6000</w:t>
            </w:r>
          </w:p>
        </w:tc>
        <w:tc>
          <w:tcPr>
            <w:tcW w:w="1028"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1800</w:t>
            </w:r>
          </w:p>
        </w:tc>
        <w:tc>
          <w:tcPr>
            <w:tcW w:w="550"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1800</w:t>
            </w:r>
          </w:p>
        </w:tc>
        <w:tc>
          <w:tcPr>
            <w:tcW w:w="1101"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600</w:t>
            </w:r>
          </w:p>
        </w:tc>
        <w:tc>
          <w:tcPr>
            <w:tcW w:w="541"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600</w:t>
            </w:r>
          </w:p>
        </w:tc>
      </w:tr>
      <w:tr w:rsidR="00E10318" w:rsidRPr="00E10318" w:rsidTr="00E10318">
        <w:trPr>
          <w:cantSplit/>
          <w:trHeight w:val="649"/>
          <w:jc w:val="center"/>
        </w:trPr>
        <w:tc>
          <w:tcPr>
            <w:tcW w:w="645"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lastRenderedPageBreak/>
              <w:t>热轧卷板</w:t>
            </w:r>
          </w:p>
        </w:tc>
        <w:tc>
          <w:tcPr>
            <w:tcW w:w="782"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≥360万手</w:t>
            </w:r>
          </w:p>
        </w:tc>
        <w:tc>
          <w:tcPr>
            <w:tcW w:w="1794"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25</w:t>
            </w:r>
          </w:p>
        </w:tc>
        <w:tc>
          <w:tcPr>
            <w:tcW w:w="1507"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180000</w:t>
            </w:r>
          </w:p>
        </w:tc>
        <w:tc>
          <w:tcPr>
            <w:tcW w:w="761"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180000</w:t>
            </w:r>
          </w:p>
        </w:tc>
        <w:tc>
          <w:tcPr>
            <w:tcW w:w="1028"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9000</w:t>
            </w:r>
          </w:p>
        </w:tc>
        <w:tc>
          <w:tcPr>
            <w:tcW w:w="550"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9000</w:t>
            </w:r>
          </w:p>
        </w:tc>
        <w:tc>
          <w:tcPr>
            <w:tcW w:w="1101"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1800</w:t>
            </w:r>
          </w:p>
        </w:tc>
        <w:tc>
          <w:tcPr>
            <w:tcW w:w="541"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1800</w:t>
            </w:r>
          </w:p>
        </w:tc>
      </w:tr>
    </w:tbl>
    <w:p w:rsidR="00E10318" w:rsidRPr="00E10318" w:rsidRDefault="00E10318" w:rsidP="00E10318">
      <w:pPr>
        <w:widowControl/>
        <w:spacing w:before="100" w:beforeAutospacing="1" w:after="100" w:afterAutospacing="1"/>
        <w:ind w:firstLineChars="200" w:firstLine="480"/>
        <w:jc w:val="left"/>
        <w:rPr>
          <w:rFonts w:ascii="宋体" w:eastAsia="宋体" w:hAnsi="宋体" w:cs="宋体"/>
          <w:kern w:val="0"/>
          <w:sz w:val="24"/>
          <w:szCs w:val="24"/>
        </w:rPr>
      </w:pPr>
      <w:r w:rsidRPr="00E10318">
        <w:rPr>
          <w:rFonts w:ascii="仿宋" w:eastAsia="仿宋" w:hAnsi="仿宋" w:cs="宋体" w:hint="eastAsia"/>
          <w:kern w:val="0"/>
          <w:sz w:val="24"/>
          <w:szCs w:val="24"/>
        </w:rPr>
        <w:t>注：表中某一期货合约持仓量为双向计算，</w:t>
      </w:r>
      <w:r w:rsidRPr="00E10318">
        <w:rPr>
          <w:rFonts w:ascii="仿宋" w:eastAsia="仿宋" w:hAnsi="仿宋" w:cs="宋体" w:hint="eastAsia"/>
          <w:bCs/>
          <w:kern w:val="0"/>
          <w:sz w:val="24"/>
          <w:szCs w:val="21"/>
        </w:rPr>
        <w:t>期货公司会员、非期货公司会员、客户的限仓比例与限仓数额为单向计算；期货公司会员的限仓比例为基数。</w:t>
      </w:r>
    </w:p>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宋体" w:eastAsia="宋体" w:hAnsi="宋体" w:cs="宋体" w:hint="eastAsia"/>
          <w:b/>
          <w:bCs/>
          <w:spacing w:val="-20"/>
          <w:kern w:val="0"/>
          <w:sz w:val="24"/>
          <w:szCs w:val="24"/>
        </w:rPr>
        <w:t>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第十九条 交易所可以根据</w:t>
      </w:r>
      <w:r w:rsidRPr="00E10318">
        <w:rPr>
          <w:rFonts w:ascii="仿宋" w:eastAsia="仿宋" w:hAnsi="仿宋" w:cs="仿宋_GB2312" w:hint="eastAsia"/>
          <w:kern w:val="0"/>
          <w:sz w:val="32"/>
          <w:szCs w:val="32"/>
        </w:rPr>
        <w:t>期货公司会员的净资产和经营情况调整其持仓限额。</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持仓限额=基数×（1+信用系数+业务系数）</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基数: 是</w:t>
      </w:r>
      <w:r w:rsidRPr="00E10318">
        <w:rPr>
          <w:rFonts w:ascii="仿宋" w:eastAsia="仿宋" w:hAnsi="仿宋" w:cs="仿宋_GB2312" w:hint="eastAsia"/>
          <w:kern w:val="0"/>
          <w:sz w:val="32"/>
          <w:szCs w:val="32"/>
        </w:rPr>
        <w:t>期货公司会员持仓限额的最低水平，由交易所规定（见第十八条表二十八、表二十九、表三十）。</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信用系数: 以</w:t>
      </w:r>
      <w:r w:rsidRPr="00E10318">
        <w:rPr>
          <w:rFonts w:ascii="仿宋" w:eastAsia="仿宋" w:hAnsi="仿宋" w:cs="仿宋_GB2312" w:hint="eastAsia"/>
          <w:kern w:val="0"/>
          <w:sz w:val="32"/>
          <w:szCs w:val="32"/>
        </w:rPr>
        <w:t>期货公司会员净资产3000万元为底数（此时信用系数为0），在此基础上，每增加500万元净资产，则信用系数相应增加0.1，信用系数最大值不得超过2。</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业务系数:</w:t>
      </w:r>
      <w:r w:rsidRPr="00E10318">
        <w:rPr>
          <w:rFonts w:ascii="仿宋" w:eastAsia="仿宋" w:hAnsi="仿宋" w:cs="仿宋_GB2312" w:hint="eastAsia"/>
          <w:kern w:val="0"/>
          <w:sz w:val="32"/>
          <w:szCs w:val="32"/>
        </w:rPr>
        <w:t>期货公司会员业务系数暂定为五档。以年交易金额80亿元为底数（此时业务系数为0），在此基础上，期货公司会员年交易金额达到规定水平，则相应提高其业务系数。业务系数的最大值不得超过1（见表三十一）。</w:t>
      </w:r>
    </w:p>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宋体" w:eastAsia="宋体" w:hAnsi="宋体" w:cs="宋体" w:hint="eastAsia"/>
          <w:b/>
          <w:bCs/>
          <w:spacing w:val="-20"/>
          <w:kern w:val="0"/>
          <w:sz w:val="24"/>
          <w:szCs w:val="24"/>
        </w:rPr>
        <w:t> </w:t>
      </w:r>
    </w:p>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
          <w:bCs/>
          <w:spacing w:val="-20"/>
          <w:kern w:val="0"/>
          <w:sz w:val="24"/>
          <w:szCs w:val="24"/>
        </w:rPr>
        <w:t>表三十一</w:t>
      </w:r>
    </w:p>
    <w:tbl>
      <w:tblPr>
        <w:tblW w:w="0" w:type="auto"/>
        <w:tblInd w:w="108" w:type="dxa"/>
        <w:tblLook w:val="04A0"/>
      </w:tblPr>
      <w:tblGrid>
        <w:gridCol w:w="1105"/>
        <w:gridCol w:w="4731"/>
        <w:gridCol w:w="2578"/>
      </w:tblGrid>
      <w:tr w:rsidR="00E10318" w:rsidRPr="00E10318" w:rsidTr="00E10318">
        <w:trPr>
          <w:trHeight w:val="232"/>
        </w:trPr>
        <w:tc>
          <w:tcPr>
            <w:tcW w:w="1112" w:type="dxa"/>
            <w:tcBorders>
              <w:top w:val="single" w:sz="8" w:space="0" w:color="000000"/>
              <w:left w:val="single" w:sz="8" w:space="0" w:color="000000"/>
              <w:bottom w:val="single" w:sz="8" w:space="0" w:color="000000"/>
              <w:right w:val="single" w:sz="8" w:space="0" w:color="000000"/>
            </w:tcBorders>
            <w:vAlign w:val="center"/>
            <w:hideMark/>
          </w:tcPr>
          <w:p w:rsidR="00E10318" w:rsidRPr="00E10318" w:rsidRDefault="00E10318" w:rsidP="00E10318">
            <w:pPr>
              <w:widowControl/>
              <w:adjustRightInd w:val="0"/>
              <w:spacing w:before="100" w:beforeAutospacing="1" w:after="100" w:afterAutospacing="1" w:line="520" w:lineRule="exact"/>
              <w:jc w:val="center"/>
              <w:rPr>
                <w:rFonts w:ascii="宋体" w:eastAsia="宋体" w:hAnsi="宋体" w:cs="宋体"/>
                <w:kern w:val="0"/>
                <w:sz w:val="24"/>
                <w:szCs w:val="24"/>
              </w:rPr>
            </w:pPr>
            <w:r w:rsidRPr="00E10318">
              <w:rPr>
                <w:rFonts w:ascii="仿宋" w:eastAsia="仿宋" w:hAnsi="仿宋" w:cs="宋体" w:hint="eastAsia"/>
                <w:spacing w:val="8"/>
                <w:kern w:val="0"/>
                <w:sz w:val="24"/>
                <w:szCs w:val="24"/>
              </w:rPr>
              <w:t>档次</w:t>
            </w:r>
          </w:p>
        </w:tc>
        <w:tc>
          <w:tcPr>
            <w:tcW w:w="4769" w:type="dxa"/>
            <w:tcBorders>
              <w:top w:val="single" w:sz="8" w:space="0" w:color="000000"/>
              <w:left w:val="nil"/>
              <w:bottom w:val="single" w:sz="8" w:space="0" w:color="000000"/>
              <w:right w:val="single" w:sz="8" w:space="0" w:color="000000"/>
            </w:tcBorders>
            <w:vAlign w:val="center"/>
            <w:hideMark/>
          </w:tcPr>
          <w:p w:rsidR="00E10318" w:rsidRPr="00E10318" w:rsidRDefault="00E10318" w:rsidP="00E10318">
            <w:pPr>
              <w:widowControl/>
              <w:adjustRightInd w:val="0"/>
              <w:spacing w:before="100" w:beforeAutospacing="1" w:after="100" w:afterAutospacing="1" w:line="520" w:lineRule="exact"/>
              <w:jc w:val="center"/>
              <w:rPr>
                <w:rFonts w:ascii="宋体" w:eastAsia="宋体" w:hAnsi="宋体" w:cs="宋体"/>
                <w:kern w:val="0"/>
                <w:sz w:val="24"/>
                <w:szCs w:val="24"/>
              </w:rPr>
            </w:pPr>
            <w:r w:rsidRPr="00E10318">
              <w:rPr>
                <w:rFonts w:ascii="仿宋" w:eastAsia="仿宋" w:hAnsi="仿宋" w:cs="宋体" w:hint="eastAsia"/>
                <w:spacing w:val="8"/>
                <w:kern w:val="0"/>
                <w:sz w:val="24"/>
                <w:szCs w:val="24"/>
              </w:rPr>
              <w:t>年交易金额（C1，亿元）</w:t>
            </w:r>
          </w:p>
        </w:tc>
        <w:tc>
          <w:tcPr>
            <w:tcW w:w="2597" w:type="dxa"/>
            <w:tcBorders>
              <w:top w:val="single" w:sz="8" w:space="0" w:color="000000"/>
              <w:left w:val="nil"/>
              <w:bottom w:val="single" w:sz="8" w:space="0" w:color="000000"/>
              <w:right w:val="single" w:sz="8" w:space="0" w:color="000000"/>
            </w:tcBorders>
            <w:vAlign w:val="center"/>
            <w:hideMark/>
          </w:tcPr>
          <w:p w:rsidR="00E10318" w:rsidRPr="00E10318" w:rsidRDefault="00E10318" w:rsidP="00E10318">
            <w:pPr>
              <w:widowControl/>
              <w:adjustRightInd w:val="0"/>
              <w:spacing w:before="100" w:beforeAutospacing="1" w:after="100" w:afterAutospacing="1" w:line="520" w:lineRule="exact"/>
              <w:jc w:val="center"/>
              <w:rPr>
                <w:rFonts w:ascii="宋体" w:eastAsia="宋体" w:hAnsi="宋体" w:cs="宋体"/>
                <w:kern w:val="0"/>
                <w:sz w:val="24"/>
                <w:szCs w:val="24"/>
              </w:rPr>
            </w:pPr>
            <w:r w:rsidRPr="00E10318">
              <w:rPr>
                <w:rFonts w:ascii="仿宋" w:eastAsia="仿宋" w:hAnsi="仿宋" w:cs="宋体" w:hint="eastAsia"/>
                <w:spacing w:val="8"/>
                <w:kern w:val="0"/>
                <w:sz w:val="24"/>
                <w:szCs w:val="24"/>
              </w:rPr>
              <w:t>业务系数</w:t>
            </w:r>
          </w:p>
        </w:tc>
      </w:tr>
      <w:tr w:rsidR="00E10318" w:rsidRPr="00E10318" w:rsidTr="00E10318">
        <w:trPr>
          <w:trHeight w:val="133"/>
        </w:trPr>
        <w:tc>
          <w:tcPr>
            <w:tcW w:w="1112" w:type="dxa"/>
            <w:tcBorders>
              <w:top w:val="nil"/>
              <w:left w:val="single" w:sz="8" w:space="0" w:color="000000"/>
              <w:bottom w:val="single" w:sz="8" w:space="0" w:color="000000"/>
              <w:right w:val="single" w:sz="8" w:space="0" w:color="000000"/>
            </w:tcBorders>
            <w:vAlign w:val="center"/>
            <w:hideMark/>
          </w:tcPr>
          <w:p w:rsidR="00E10318" w:rsidRPr="00E10318" w:rsidRDefault="00E10318" w:rsidP="00E10318">
            <w:pPr>
              <w:widowControl/>
              <w:adjustRightInd w:val="0"/>
              <w:spacing w:before="100" w:beforeAutospacing="1" w:after="100" w:afterAutospacing="1" w:line="133" w:lineRule="atLeast"/>
              <w:jc w:val="center"/>
              <w:rPr>
                <w:rFonts w:ascii="宋体" w:eastAsia="宋体" w:hAnsi="宋体" w:cs="宋体"/>
                <w:kern w:val="0"/>
                <w:sz w:val="24"/>
                <w:szCs w:val="24"/>
              </w:rPr>
            </w:pPr>
            <w:r w:rsidRPr="00E10318">
              <w:rPr>
                <w:rFonts w:ascii="仿宋" w:eastAsia="仿宋" w:hAnsi="仿宋" w:cs="宋体" w:hint="eastAsia"/>
                <w:spacing w:val="8"/>
                <w:kern w:val="0"/>
                <w:sz w:val="24"/>
                <w:szCs w:val="24"/>
              </w:rPr>
              <w:t>1</w:t>
            </w:r>
          </w:p>
        </w:tc>
        <w:tc>
          <w:tcPr>
            <w:tcW w:w="4769" w:type="dxa"/>
            <w:tcBorders>
              <w:top w:val="single" w:sz="6" w:space="0" w:color="000000"/>
              <w:left w:val="single" w:sz="6" w:space="0" w:color="000000"/>
              <w:bottom w:val="single" w:sz="6" w:space="0" w:color="000000"/>
              <w:right w:val="single" w:sz="6" w:space="0" w:color="000000"/>
            </w:tcBorders>
            <w:vAlign w:val="center"/>
            <w:hideMark/>
          </w:tcPr>
          <w:p w:rsidR="00E10318" w:rsidRPr="00E10318" w:rsidRDefault="00E10318" w:rsidP="00E10318">
            <w:pPr>
              <w:widowControl/>
              <w:adjustRightInd w:val="0"/>
              <w:spacing w:before="100" w:beforeAutospacing="1" w:after="100" w:afterAutospacing="1" w:line="133" w:lineRule="atLeast"/>
              <w:jc w:val="center"/>
              <w:rPr>
                <w:rFonts w:ascii="宋体" w:eastAsia="宋体" w:hAnsi="宋体" w:cs="宋体"/>
                <w:kern w:val="0"/>
                <w:sz w:val="24"/>
                <w:szCs w:val="24"/>
              </w:rPr>
            </w:pPr>
            <w:r w:rsidRPr="00E10318">
              <w:rPr>
                <w:rFonts w:ascii="仿宋" w:eastAsia="仿宋" w:hAnsi="仿宋" w:cs="宋体" w:hint="eastAsia"/>
                <w:spacing w:val="8"/>
                <w:kern w:val="0"/>
                <w:sz w:val="24"/>
                <w:szCs w:val="24"/>
              </w:rPr>
              <w:t>C1 ≤ 80</w:t>
            </w:r>
          </w:p>
        </w:tc>
        <w:tc>
          <w:tcPr>
            <w:tcW w:w="2597" w:type="dxa"/>
            <w:tcBorders>
              <w:top w:val="single" w:sz="6" w:space="0" w:color="000000"/>
              <w:left w:val="single" w:sz="6" w:space="0" w:color="000000"/>
              <w:bottom w:val="single" w:sz="6" w:space="0" w:color="000000"/>
              <w:right w:val="single" w:sz="6" w:space="0" w:color="000000"/>
            </w:tcBorders>
            <w:vAlign w:val="center"/>
            <w:hideMark/>
          </w:tcPr>
          <w:p w:rsidR="00E10318" w:rsidRPr="00E10318" w:rsidRDefault="00E10318" w:rsidP="00E10318">
            <w:pPr>
              <w:widowControl/>
              <w:adjustRightInd w:val="0"/>
              <w:spacing w:before="100" w:beforeAutospacing="1" w:after="100" w:afterAutospacing="1" w:line="133" w:lineRule="atLeast"/>
              <w:jc w:val="center"/>
              <w:rPr>
                <w:rFonts w:ascii="宋体" w:eastAsia="宋体" w:hAnsi="宋体" w:cs="宋体"/>
                <w:kern w:val="0"/>
                <w:sz w:val="24"/>
                <w:szCs w:val="24"/>
              </w:rPr>
            </w:pPr>
            <w:r w:rsidRPr="00E10318">
              <w:rPr>
                <w:rFonts w:ascii="仿宋" w:eastAsia="仿宋" w:hAnsi="仿宋" w:cs="宋体" w:hint="eastAsia"/>
                <w:spacing w:val="8"/>
                <w:kern w:val="0"/>
                <w:sz w:val="24"/>
                <w:szCs w:val="24"/>
              </w:rPr>
              <w:t>0</w:t>
            </w:r>
          </w:p>
        </w:tc>
      </w:tr>
      <w:tr w:rsidR="00E10318" w:rsidRPr="00E10318" w:rsidTr="00E10318">
        <w:trPr>
          <w:trHeight w:val="302"/>
        </w:trPr>
        <w:tc>
          <w:tcPr>
            <w:tcW w:w="1112" w:type="dxa"/>
            <w:tcBorders>
              <w:top w:val="nil"/>
              <w:left w:val="single" w:sz="8" w:space="0" w:color="000000"/>
              <w:bottom w:val="single" w:sz="8" w:space="0" w:color="000000"/>
              <w:right w:val="single" w:sz="8" w:space="0" w:color="000000"/>
            </w:tcBorders>
            <w:vAlign w:val="center"/>
            <w:hideMark/>
          </w:tcPr>
          <w:p w:rsidR="00E10318" w:rsidRPr="00E10318" w:rsidRDefault="00E10318" w:rsidP="00E10318">
            <w:pPr>
              <w:widowControl/>
              <w:adjustRightInd w:val="0"/>
              <w:spacing w:before="100" w:beforeAutospacing="1" w:after="100" w:afterAutospacing="1" w:line="520" w:lineRule="exact"/>
              <w:jc w:val="center"/>
              <w:rPr>
                <w:rFonts w:ascii="宋体" w:eastAsia="宋体" w:hAnsi="宋体" w:cs="宋体"/>
                <w:kern w:val="0"/>
                <w:sz w:val="24"/>
                <w:szCs w:val="24"/>
              </w:rPr>
            </w:pPr>
            <w:r w:rsidRPr="00E10318">
              <w:rPr>
                <w:rFonts w:ascii="仿宋" w:eastAsia="仿宋" w:hAnsi="仿宋" w:cs="宋体" w:hint="eastAsia"/>
                <w:spacing w:val="8"/>
                <w:kern w:val="0"/>
                <w:sz w:val="24"/>
                <w:szCs w:val="24"/>
              </w:rPr>
              <w:t>2</w:t>
            </w:r>
          </w:p>
        </w:tc>
        <w:tc>
          <w:tcPr>
            <w:tcW w:w="4769" w:type="dxa"/>
            <w:tcBorders>
              <w:top w:val="single" w:sz="6" w:space="0" w:color="000000"/>
              <w:left w:val="single" w:sz="6" w:space="0" w:color="000000"/>
              <w:bottom w:val="single" w:sz="6" w:space="0" w:color="000000"/>
              <w:right w:val="single" w:sz="6" w:space="0" w:color="000000"/>
            </w:tcBorders>
            <w:vAlign w:val="center"/>
            <w:hideMark/>
          </w:tcPr>
          <w:p w:rsidR="00E10318" w:rsidRPr="00E10318" w:rsidRDefault="00E10318" w:rsidP="00E10318">
            <w:pPr>
              <w:widowControl/>
              <w:adjustRightInd w:val="0"/>
              <w:spacing w:before="100" w:beforeAutospacing="1" w:after="100" w:afterAutospacing="1" w:line="520" w:lineRule="exact"/>
              <w:jc w:val="center"/>
              <w:rPr>
                <w:rFonts w:ascii="宋体" w:eastAsia="宋体" w:hAnsi="宋体" w:cs="宋体"/>
                <w:kern w:val="0"/>
                <w:sz w:val="24"/>
                <w:szCs w:val="24"/>
              </w:rPr>
            </w:pPr>
            <w:r w:rsidRPr="00E10318">
              <w:rPr>
                <w:rFonts w:ascii="仿宋" w:eastAsia="仿宋" w:hAnsi="仿宋" w:cs="宋体" w:hint="eastAsia"/>
                <w:spacing w:val="8"/>
                <w:kern w:val="0"/>
                <w:sz w:val="24"/>
                <w:szCs w:val="24"/>
              </w:rPr>
              <w:t>80 ＜ C1 ≤ 160</w:t>
            </w:r>
          </w:p>
        </w:tc>
        <w:tc>
          <w:tcPr>
            <w:tcW w:w="2597" w:type="dxa"/>
            <w:tcBorders>
              <w:top w:val="single" w:sz="6" w:space="0" w:color="000000"/>
              <w:left w:val="single" w:sz="6" w:space="0" w:color="000000"/>
              <w:bottom w:val="single" w:sz="6" w:space="0" w:color="000000"/>
              <w:right w:val="single" w:sz="6" w:space="0" w:color="000000"/>
            </w:tcBorders>
            <w:vAlign w:val="center"/>
            <w:hideMark/>
          </w:tcPr>
          <w:p w:rsidR="00E10318" w:rsidRPr="00E10318" w:rsidRDefault="00E10318" w:rsidP="00E10318">
            <w:pPr>
              <w:widowControl/>
              <w:adjustRightInd w:val="0"/>
              <w:spacing w:before="100" w:beforeAutospacing="1" w:after="100" w:afterAutospacing="1" w:line="520" w:lineRule="exact"/>
              <w:jc w:val="center"/>
              <w:rPr>
                <w:rFonts w:ascii="宋体" w:eastAsia="宋体" w:hAnsi="宋体" w:cs="宋体"/>
                <w:kern w:val="0"/>
                <w:sz w:val="24"/>
                <w:szCs w:val="24"/>
              </w:rPr>
            </w:pPr>
            <w:r w:rsidRPr="00E10318">
              <w:rPr>
                <w:rFonts w:ascii="仿宋" w:eastAsia="仿宋" w:hAnsi="仿宋" w:cs="宋体" w:hint="eastAsia"/>
                <w:spacing w:val="8"/>
                <w:kern w:val="0"/>
                <w:sz w:val="24"/>
                <w:szCs w:val="24"/>
              </w:rPr>
              <w:t>0.25</w:t>
            </w:r>
          </w:p>
        </w:tc>
      </w:tr>
      <w:tr w:rsidR="00E10318" w:rsidRPr="00E10318" w:rsidTr="00E10318">
        <w:trPr>
          <w:trHeight w:val="170"/>
        </w:trPr>
        <w:tc>
          <w:tcPr>
            <w:tcW w:w="1112" w:type="dxa"/>
            <w:tcBorders>
              <w:top w:val="nil"/>
              <w:left w:val="single" w:sz="8" w:space="0" w:color="000000"/>
              <w:bottom w:val="single" w:sz="8" w:space="0" w:color="000000"/>
              <w:right w:val="single" w:sz="8" w:space="0" w:color="000000"/>
            </w:tcBorders>
            <w:vAlign w:val="center"/>
            <w:hideMark/>
          </w:tcPr>
          <w:p w:rsidR="00E10318" w:rsidRPr="00E10318" w:rsidRDefault="00E10318" w:rsidP="00E10318">
            <w:pPr>
              <w:widowControl/>
              <w:adjustRightInd w:val="0"/>
              <w:spacing w:before="100" w:beforeAutospacing="1" w:after="100" w:afterAutospacing="1" w:line="170" w:lineRule="atLeast"/>
              <w:jc w:val="center"/>
              <w:rPr>
                <w:rFonts w:ascii="宋体" w:eastAsia="宋体" w:hAnsi="宋体" w:cs="宋体"/>
                <w:kern w:val="0"/>
                <w:sz w:val="24"/>
                <w:szCs w:val="24"/>
              </w:rPr>
            </w:pPr>
            <w:r w:rsidRPr="00E10318">
              <w:rPr>
                <w:rFonts w:ascii="仿宋" w:eastAsia="仿宋" w:hAnsi="仿宋" w:cs="宋体" w:hint="eastAsia"/>
                <w:spacing w:val="8"/>
                <w:kern w:val="0"/>
                <w:sz w:val="24"/>
                <w:szCs w:val="24"/>
              </w:rPr>
              <w:t>3</w:t>
            </w:r>
          </w:p>
        </w:tc>
        <w:tc>
          <w:tcPr>
            <w:tcW w:w="4769" w:type="dxa"/>
            <w:tcBorders>
              <w:top w:val="single" w:sz="6" w:space="0" w:color="000000"/>
              <w:left w:val="single" w:sz="6" w:space="0" w:color="000000"/>
              <w:bottom w:val="single" w:sz="6" w:space="0" w:color="000000"/>
              <w:right w:val="single" w:sz="6" w:space="0" w:color="000000"/>
            </w:tcBorders>
            <w:vAlign w:val="center"/>
            <w:hideMark/>
          </w:tcPr>
          <w:p w:rsidR="00E10318" w:rsidRPr="00E10318" w:rsidRDefault="00E10318" w:rsidP="00E10318">
            <w:pPr>
              <w:widowControl/>
              <w:adjustRightInd w:val="0"/>
              <w:spacing w:before="100" w:beforeAutospacing="1" w:after="100" w:afterAutospacing="1" w:line="170" w:lineRule="atLeast"/>
              <w:jc w:val="center"/>
              <w:rPr>
                <w:rFonts w:ascii="宋体" w:eastAsia="宋体" w:hAnsi="宋体" w:cs="宋体"/>
                <w:kern w:val="0"/>
                <w:sz w:val="24"/>
                <w:szCs w:val="24"/>
              </w:rPr>
            </w:pPr>
            <w:r w:rsidRPr="00E10318">
              <w:rPr>
                <w:rFonts w:ascii="仿宋" w:eastAsia="仿宋" w:hAnsi="仿宋" w:cs="宋体" w:hint="eastAsia"/>
                <w:spacing w:val="8"/>
                <w:kern w:val="0"/>
                <w:sz w:val="24"/>
                <w:szCs w:val="24"/>
              </w:rPr>
              <w:t>160 ＜ C1 ≤ 280</w:t>
            </w:r>
          </w:p>
        </w:tc>
        <w:tc>
          <w:tcPr>
            <w:tcW w:w="2597" w:type="dxa"/>
            <w:tcBorders>
              <w:top w:val="single" w:sz="6" w:space="0" w:color="000000"/>
              <w:left w:val="single" w:sz="6" w:space="0" w:color="000000"/>
              <w:bottom w:val="single" w:sz="6" w:space="0" w:color="000000"/>
              <w:right w:val="single" w:sz="6" w:space="0" w:color="000000"/>
            </w:tcBorders>
            <w:vAlign w:val="center"/>
            <w:hideMark/>
          </w:tcPr>
          <w:p w:rsidR="00E10318" w:rsidRPr="00E10318" w:rsidRDefault="00E10318" w:rsidP="00E10318">
            <w:pPr>
              <w:widowControl/>
              <w:adjustRightInd w:val="0"/>
              <w:spacing w:before="100" w:beforeAutospacing="1" w:after="100" w:afterAutospacing="1" w:line="170" w:lineRule="atLeast"/>
              <w:jc w:val="center"/>
              <w:rPr>
                <w:rFonts w:ascii="宋体" w:eastAsia="宋体" w:hAnsi="宋体" w:cs="宋体"/>
                <w:kern w:val="0"/>
                <w:sz w:val="24"/>
                <w:szCs w:val="24"/>
              </w:rPr>
            </w:pPr>
            <w:r w:rsidRPr="00E10318">
              <w:rPr>
                <w:rFonts w:ascii="仿宋" w:eastAsia="仿宋" w:hAnsi="仿宋" w:cs="宋体" w:hint="eastAsia"/>
                <w:spacing w:val="8"/>
                <w:kern w:val="0"/>
                <w:sz w:val="24"/>
                <w:szCs w:val="24"/>
              </w:rPr>
              <w:t>0.50</w:t>
            </w:r>
          </w:p>
        </w:tc>
      </w:tr>
      <w:tr w:rsidR="00E10318" w:rsidRPr="00E10318" w:rsidTr="00E10318">
        <w:trPr>
          <w:trHeight w:val="168"/>
        </w:trPr>
        <w:tc>
          <w:tcPr>
            <w:tcW w:w="1112" w:type="dxa"/>
            <w:tcBorders>
              <w:top w:val="nil"/>
              <w:left w:val="single" w:sz="8" w:space="0" w:color="000000"/>
              <w:bottom w:val="single" w:sz="8" w:space="0" w:color="000000"/>
              <w:right w:val="single" w:sz="8" w:space="0" w:color="000000"/>
            </w:tcBorders>
            <w:vAlign w:val="center"/>
            <w:hideMark/>
          </w:tcPr>
          <w:p w:rsidR="00E10318" w:rsidRPr="00E10318" w:rsidRDefault="00E10318" w:rsidP="00E10318">
            <w:pPr>
              <w:widowControl/>
              <w:adjustRightInd w:val="0"/>
              <w:spacing w:before="100" w:beforeAutospacing="1" w:after="100" w:afterAutospacing="1" w:line="168" w:lineRule="atLeast"/>
              <w:jc w:val="center"/>
              <w:rPr>
                <w:rFonts w:ascii="宋体" w:eastAsia="宋体" w:hAnsi="宋体" w:cs="宋体"/>
                <w:kern w:val="0"/>
                <w:sz w:val="24"/>
                <w:szCs w:val="24"/>
              </w:rPr>
            </w:pPr>
            <w:r w:rsidRPr="00E10318">
              <w:rPr>
                <w:rFonts w:ascii="仿宋" w:eastAsia="仿宋" w:hAnsi="仿宋" w:cs="宋体" w:hint="eastAsia"/>
                <w:spacing w:val="8"/>
                <w:kern w:val="0"/>
                <w:sz w:val="24"/>
                <w:szCs w:val="24"/>
              </w:rPr>
              <w:t>4</w:t>
            </w:r>
          </w:p>
        </w:tc>
        <w:tc>
          <w:tcPr>
            <w:tcW w:w="4769" w:type="dxa"/>
            <w:tcBorders>
              <w:top w:val="single" w:sz="6" w:space="0" w:color="000000"/>
              <w:left w:val="single" w:sz="6" w:space="0" w:color="000000"/>
              <w:bottom w:val="single" w:sz="6" w:space="0" w:color="000000"/>
              <w:right w:val="single" w:sz="6" w:space="0" w:color="000000"/>
            </w:tcBorders>
            <w:vAlign w:val="center"/>
            <w:hideMark/>
          </w:tcPr>
          <w:p w:rsidR="00E10318" w:rsidRPr="00E10318" w:rsidRDefault="00E10318" w:rsidP="00E10318">
            <w:pPr>
              <w:widowControl/>
              <w:adjustRightInd w:val="0"/>
              <w:spacing w:before="100" w:beforeAutospacing="1" w:after="100" w:afterAutospacing="1" w:line="168" w:lineRule="atLeast"/>
              <w:jc w:val="center"/>
              <w:rPr>
                <w:rFonts w:ascii="宋体" w:eastAsia="宋体" w:hAnsi="宋体" w:cs="宋体"/>
                <w:kern w:val="0"/>
                <w:sz w:val="24"/>
                <w:szCs w:val="24"/>
              </w:rPr>
            </w:pPr>
            <w:r w:rsidRPr="00E10318">
              <w:rPr>
                <w:rFonts w:ascii="仿宋" w:eastAsia="仿宋" w:hAnsi="仿宋" w:cs="宋体" w:hint="eastAsia"/>
                <w:spacing w:val="8"/>
                <w:kern w:val="0"/>
                <w:sz w:val="24"/>
                <w:szCs w:val="24"/>
              </w:rPr>
              <w:t>280 ＜ C1 ≤ 400</w:t>
            </w:r>
          </w:p>
        </w:tc>
        <w:tc>
          <w:tcPr>
            <w:tcW w:w="2597" w:type="dxa"/>
            <w:tcBorders>
              <w:top w:val="single" w:sz="6" w:space="0" w:color="000000"/>
              <w:left w:val="single" w:sz="6" w:space="0" w:color="000000"/>
              <w:bottom w:val="single" w:sz="6" w:space="0" w:color="000000"/>
              <w:right w:val="single" w:sz="6" w:space="0" w:color="000000"/>
            </w:tcBorders>
            <w:vAlign w:val="center"/>
            <w:hideMark/>
          </w:tcPr>
          <w:p w:rsidR="00E10318" w:rsidRPr="00E10318" w:rsidRDefault="00E10318" w:rsidP="00E10318">
            <w:pPr>
              <w:widowControl/>
              <w:adjustRightInd w:val="0"/>
              <w:spacing w:before="100" w:beforeAutospacing="1" w:after="100" w:afterAutospacing="1" w:line="168" w:lineRule="atLeast"/>
              <w:jc w:val="center"/>
              <w:rPr>
                <w:rFonts w:ascii="宋体" w:eastAsia="宋体" w:hAnsi="宋体" w:cs="宋体"/>
                <w:kern w:val="0"/>
                <w:sz w:val="24"/>
                <w:szCs w:val="24"/>
              </w:rPr>
            </w:pPr>
            <w:r w:rsidRPr="00E10318">
              <w:rPr>
                <w:rFonts w:ascii="仿宋" w:eastAsia="仿宋" w:hAnsi="仿宋" w:cs="宋体" w:hint="eastAsia"/>
                <w:spacing w:val="8"/>
                <w:kern w:val="0"/>
                <w:sz w:val="24"/>
                <w:szCs w:val="24"/>
              </w:rPr>
              <w:t>0.75</w:t>
            </w:r>
          </w:p>
        </w:tc>
      </w:tr>
      <w:tr w:rsidR="00E10318" w:rsidRPr="00E10318" w:rsidTr="00E10318">
        <w:trPr>
          <w:trHeight w:val="44"/>
        </w:trPr>
        <w:tc>
          <w:tcPr>
            <w:tcW w:w="1112" w:type="dxa"/>
            <w:tcBorders>
              <w:top w:val="nil"/>
              <w:left w:val="single" w:sz="8" w:space="0" w:color="000000"/>
              <w:bottom w:val="single" w:sz="8" w:space="0" w:color="000000"/>
              <w:right w:val="single" w:sz="8" w:space="0" w:color="000000"/>
            </w:tcBorders>
            <w:vAlign w:val="center"/>
            <w:hideMark/>
          </w:tcPr>
          <w:p w:rsidR="00E10318" w:rsidRPr="00E10318" w:rsidRDefault="00E10318" w:rsidP="00E10318">
            <w:pPr>
              <w:widowControl/>
              <w:adjustRightInd w:val="0"/>
              <w:spacing w:before="100" w:beforeAutospacing="1" w:after="100" w:afterAutospacing="1" w:line="44" w:lineRule="atLeast"/>
              <w:jc w:val="center"/>
              <w:rPr>
                <w:rFonts w:ascii="宋体" w:eastAsia="宋体" w:hAnsi="宋体" w:cs="宋体"/>
                <w:kern w:val="0"/>
                <w:sz w:val="24"/>
                <w:szCs w:val="24"/>
              </w:rPr>
            </w:pPr>
            <w:r w:rsidRPr="00E10318">
              <w:rPr>
                <w:rFonts w:ascii="仿宋" w:eastAsia="仿宋" w:hAnsi="仿宋" w:cs="宋体" w:hint="eastAsia"/>
                <w:spacing w:val="8"/>
                <w:kern w:val="0"/>
                <w:sz w:val="24"/>
                <w:szCs w:val="24"/>
              </w:rPr>
              <w:t>5</w:t>
            </w:r>
          </w:p>
        </w:tc>
        <w:tc>
          <w:tcPr>
            <w:tcW w:w="4769" w:type="dxa"/>
            <w:tcBorders>
              <w:top w:val="single" w:sz="6" w:space="0" w:color="000000"/>
              <w:left w:val="single" w:sz="6" w:space="0" w:color="000000"/>
              <w:bottom w:val="single" w:sz="6" w:space="0" w:color="000000"/>
              <w:right w:val="single" w:sz="6" w:space="0" w:color="000000"/>
            </w:tcBorders>
            <w:vAlign w:val="center"/>
            <w:hideMark/>
          </w:tcPr>
          <w:p w:rsidR="00E10318" w:rsidRPr="00E10318" w:rsidRDefault="00E10318" w:rsidP="00E10318">
            <w:pPr>
              <w:widowControl/>
              <w:adjustRightInd w:val="0"/>
              <w:spacing w:before="100" w:beforeAutospacing="1" w:after="100" w:afterAutospacing="1" w:line="44" w:lineRule="atLeast"/>
              <w:jc w:val="center"/>
              <w:rPr>
                <w:rFonts w:ascii="宋体" w:eastAsia="宋体" w:hAnsi="宋体" w:cs="宋体"/>
                <w:kern w:val="0"/>
                <w:sz w:val="24"/>
                <w:szCs w:val="24"/>
              </w:rPr>
            </w:pPr>
            <w:r w:rsidRPr="00E10318">
              <w:rPr>
                <w:rFonts w:ascii="仿宋" w:eastAsia="仿宋" w:hAnsi="仿宋" w:cs="宋体" w:hint="eastAsia"/>
                <w:spacing w:val="8"/>
                <w:kern w:val="0"/>
                <w:sz w:val="24"/>
                <w:szCs w:val="24"/>
              </w:rPr>
              <w:t>C1 &gt;400</w:t>
            </w:r>
          </w:p>
        </w:tc>
        <w:tc>
          <w:tcPr>
            <w:tcW w:w="2597" w:type="dxa"/>
            <w:tcBorders>
              <w:top w:val="single" w:sz="6" w:space="0" w:color="000000"/>
              <w:left w:val="single" w:sz="6" w:space="0" w:color="000000"/>
              <w:bottom w:val="single" w:sz="6" w:space="0" w:color="000000"/>
              <w:right w:val="single" w:sz="6" w:space="0" w:color="000000"/>
            </w:tcBorders>
            <w:vAlign w:val="center"/>
            <w:hideMark/>
          </w:tcPr>
          <w:p w:rsidR="00E10318" w:rsidRPr="00E10318" w:rsidRDefault="00E10318" w:rsidP="00E10318">
            <w:pPr>
              <w:widowControl/>
              <w:adjustRightInd w:val="0"/>
              <w:spacing w:before="100" w:beforeAutospacing="1" w:after="100" w:afterAutospacing="1" w:line="44" w:lineRule="atLeast"/>
              <w:jc w:val="center"/>
              <w:rPr>
                <w:rFonts w:ascii="宋体" w:eastAsia="宋体" w:hAnsi="宋体" w:cs="宋体"/>
                <w:kern w:val="0"/>
                <w:sz w:val="24"/>
                <w:szCs w:val="24"/>
              </w:rPr>
            </w:pPr>
            <w:r w:rsidRPr="00E10318">
              <w:rPr>
                <w:rFonts w:ascii="仿宋" w:eastAsia="仿宋" w:hAnsi="仿宋" w:cs="宋体" w:hint="eastAsia"/>
                <w:spacing w:val="8"/>
                <w:kern w:val="0"/>
                <w:sz w:val="24"/>
                <w:szCs w:val="24"/>
              </w:rPr>
              <w:t>1.00</w:t>
            </w:r>
          </w:p>
        </w:tc>
      </w:tr>
    </w:tbl>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lastRenderedPageBreak/>
        <w:t xml:space="preserve">第二十条 </w:t>
      </w:r>
      <w:r w:rsidRPr="00E10318">
        <w:rPr>
          <w:rFonts w:ascii="仿宋" w:eastAsia="仿宋" w:hAnsi="仿宋" w:cs="仿宋_GB2312" w:hint="eastAsia"/>
          <w:kern w:val="0"/>
          <w:sz w:val="32"/>
          <w:szCs w:val="32"/>
        </w:rPr>
        <w:t>期货公司会员的持仓限额，由交易所每一年核定一次。</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仿宋_GB2312" w:hint="eastAsia"/>
          <w:kern w:val="0"/>
          <w:sz w:val="32"/>
          <w:szCs w:val="32"/>
        </w:rPr>
        <w:t>期货公司会员应当在当年3月15日前向交易所提供上一年度期末净资产金额的证明文件（会计师事务所审计报告）。交易所统计上年1月1日至12月31日期货公司会员的交易量，核定持仓限额后于当年3月20日前通知期货公司会员，并予公布; 该持仓限额适用于其当年3月21日起至次年3月20日</w:t>
      </w:r>
      <w:proofErr w:type="gramStart"/>
      <w:r w:rsidRPr="00E10318">
        <w:rPr>
          <w:rFonts w:ascii="仿宋" w:eastAsia="仿宋" w:hAnsi="仿宋" w:cs="仿宋_GB2312" w:hint="eastAsia"/>
          <w:kern w:val="0"/>
          <w:sz w:val="32"/>
          <w:szCs w:val="32"/>
        </w:rPr>
        <w:t>止</w:t>
      </w:r>
      <w:proofErr w:type="gramEnd"/>
      <w:r w:rsidRPr="00E10318">
        <w:rPr>
          <w:rFonts w:ascii="仿宋" w:eastAsia="仿宋" w:hAnsi="仿宋" w:cs="仿宋_GB2312" w:hint="eastAsia"/>
          <w:kern w:val="0"/>
          <w:sz w:val="32"/>
          <w:szCs w:val="32"/>
        </w:rPr>
        <w:t>期间（含起、止日）的各品种期货合约的交易。</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第二十一条 到期未提供证明文件、统计材料或所提供证明文件、统计材料无效的，则均以基数水平论。</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仿宋_GB2312" w:hint="eastAsia"/>
          <w:kern w:val="0"/>
          <w:sz w:val="32"/>
          <w:szCs w:val="32"/>
        </w:rPr>
        <w:t>第二十二条 交易所可以根据市场情况，对不同的上市品种、合约，调整会员或者客户的持仓限额。交易所调整持仓限额应当经理事会批准，报告中国证监会后实施。</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仿宋_GB2312" w:hint="eastAsia"/>
          <w:kern w:val="0"/>
          <w:sz w:val="32"/>
          <w:szCs w:val="32"/>
        </w:rPr>
        <w:t>第二十三条 非期货公司会员或客户的持仓数量不得超过交易所规定的持仓限额。对超过持仓限额的非期货公司会员或客户，交易所可以按有关规定执行强行平仓。</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仿宋_GB2312" w:hint="eastAsia"/>
          <w:kern w:val="0"/>
          <w:sz w:val="32"/>
          <w:szCs w:val="32"/>
        </w:rPr>
        <w:t>一个客户在不同期货公司会员处开有多个交易编码，其持仓量合计超出持仓限额的，交易所可以指定有关期货公司会员对该客户超额持仓执行强行平仓。</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宋体" w:eastAsia="宋体" w:hAnsi="宋体" w:cs="宋体" w:hint="eastAsia"/>
          <w:strike/>
          <w:kern w:val="0"/>
          <w:sz w:val="32"/>
          <w:szCs w:val="32"/>
        </w:rPr>
        <w:t> </w:t>
      </w:r>
    </w:p>
    <w:p w:rsidR="00E10318" w:rsidRPr="00E10318" w:rsidRDefault="00E10318" w:rsidP="00E10318">
      <w:pPr>
        <w:widowControl/>
        <w:adjustRightInd w:val="0"/>
        <w:spacing w:before="100" w:beforeAutospacing="1" w:after="100" w:afterAutospacing="1" w:line="520" w:lineRule="exact"/>
        <w:jc w:val="center"/>
        <w:rPr>
          <w:rFonts w:ascii="宋体" w:eastAsia="宋体" w:hAnsi="宋体" w:cs="宋体"/>
          <w:kern w:val="0"/>
          <w:sz w:val="24"/>
          <w:szCs w:val="24"/>
        </w:rPr>
      </w:pPr>
      <w:r w:rsidRPr="00E10318">
        <w:rPr>
          <w:rFonts w:ascii="仿宋" w:eastAsia="仿宋" w:hAnsi="仿宋" w:cs="宋体" w:hint="eastAsia"/>
          <w:b/>
          <w:bCs/>
          <w:kern w:val="0"/>
          <w:sz w:val="32"/>
          <w:szCs w:val="32"/>
        </w:rPr>
        <w:t>第五章 交易限额制度</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bookmarkStart w:id="10" w:name="OLE_LINK433"/>
      <w:bookmarkStart w:id="11" w:name="OLE_LINK432"/>
      <w:r w:rsidRPr="00E10318">
        <w:rPr>
          <w:rFonts w:ascii="仿宋" w:eastAsia="仿宋" w:hAnsi="仿宋" w:cs="仿宋_GB2312" w:hint="eastAsia"/>
          <w:color w:val="333333"/>
          <w:kern w:val="0"/>
          <w:sz w:val="32"/>
          <w:szCs w:val="32"/>
        </w:rPr>
        <w:lastRenderedPageBreak/>
        <w:t>第二十四条 交易所实行交易限额制度。交易限额是指交易所规定的会员或者客户对某一合约在某一期限内开仓交易的最大数量。交易所可以根据市场情况，对不同的上市品种、合约，对部分或者全部会员、特定客户，制定日内开仓交易量，具体标准由交易所另行确定。</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仿宋_GB2312" w:hint="eastAsia"/>
          <w:kern w:val="0"/>
          <w:sz w:val="32"/>
          <w:szCs w:val="32"/>
        </w:rPr>
        <w:t>套期保值交易不受本条前款限制。</w:t>
      </w:r>
    </w:p>
    <w:p w:rsidR="00E10318" w:rsidRPr="00E10318" w:rsidRDefault="00E10318" w:rsidP="00E10318">
      <w:pPr>
        <w:widowControl/>
        <w:adjustRightInd w:val="0"/>
        <w:spacing w:before="100" w:beforeAutospacing="1" w:after="100" w:afterAutospacing="1" w:line="520" w:lineRule="exact"/>
        <w:jc w:val="center"/>
        <w:rPr>
          <w:rFonts w:ascii="宋体" w:eastAsia="宋体" w:hAnsi="宋体" w:cs="宋体"/>
          <w:kern w:val="0"/>
          <w:sz w:val="24"/>
          <w:szCs w:val="24"/>
        </w:rPr>
      </w:pPr>
      <w:r w:rsidRPr="00E10318">
        <w:rPr>
          <w:rFonts w:ascii="宋体" w:eastAsia="宋体" w:hAnsi="宋体" w:cs="宋体" w:hint="eastAsia"/>
          <w:b/>
          <w:bCs/>
          <w:kern w:val="0"/>
          <w:sz w:val="32"/>
          <w:szCs w:val="32"/>
        </w:rPr>
        <w:t>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宋体" w:eastAsia="宋体" w:hAnsi="宋体" w:cs="宋体" w:hint="eastAsia"/>
          <w:kern w:val="0"/>
          <w:sz w:val="32"/>
          <w:szCs w:val="32"/>
        </w:rPr>
        <w:t> </w:t>
      </w:r>
    </w:p>
    <w:p w:rsidR="00E10318" w:rsidRPr="00E10318" w:rsidRDefault="00E10318" w:rsidP="00E10318">
      <w:pPr>
        <w:widowControl/>
        <w:adjustRightInd w:val="0"/>
        <w:spacing w:before="100" w:beforeAutospacing="1" w:after="100" w:afterAutospacing="1" w:line="520" w:lineRule="exact"/>
        <w:jc w:val="center"/>
        <w:rPr>
          <w:rFonts w:ascii="宋体" w:eastAsia="宋体" w:hAnsi="宋体" w:cs="宋体"/>
          <w:kern w:val="0"/>
          <w:sz w:val="24"/>
          <w:szCs w:val="24"/>
        </w:rPr>
      </w:pPr>
      <w:r w:rsidRPr="00E10318">
        <w:rPr>
          <w:rFonts w:ascii="仿宋" w:eastAsia="仿宋" w:hAnsi="仿宋" w:cs="宋体" w:hint="eastAsia"/>
          <w:b/>
          <w:bCs/>
          <w:kern w:val="0"/>
          <w:sz w:val="32"/>
          <w:szCs w:val="32"/>
        </w:rPr>
        <w:t>第六章 大户报告制度</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第二十五条 交易所实行大户报告制度。当会员或者客户某品种持仓合约的投机头寸达到交易所对其规定的投机头寸持仓限额80%以上（含本数）或者交易所要求报告的，会员或客户应当向交易所报告其资金情况、头寸情况，客户应当通过期货公司会员报告。交易所可以根据市场风险状况，制定并调整持仓报告标准。</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第二十六条 会员和客户的持仓，达到交易所报告界限的，会员和客户应当主动于下一交易日15:00时前向交易所报告。如需再次报告或补充报告，交易所将通知有关会员。</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第二十七条 达到交易所报告界限的期货公司会员应当向交易所提供下列材料:</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lastRenderedPageBreak/>
        <w:t>（一）填写完整的《期货公司会员大户报告表》，内容包括会员名称、会员号、合约代码、现有持仓、持仓保证金、可动用资金、持仓客户数量、预报交割数量、申请交割数量;</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（二）资金来源说明;</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（三）其持仓量前五名</w:t>
      </w:r>
      <w:r w:rsidRPr="00E10318">
        <w:rPr>
          <w:rFonts w:ascii="仿宋" w:eastAsia="仿宋" w:hAnsi="仿宋" w:cs="仿宋_GB2312" w:hint="eastAsia"/>
          <w:kern w:val="0"/>
          <w:sz w:val="32"/>
          <w:szCs w:val="32"/>
        </w:rPr>
        <w:t>客户的名称、交易编码、持仓量、开户资料及当日结算单据;</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（四）交易所要求提供的其他材料。</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第二十八条 达到交易所报告界限的非</w:t>
      </w:r>
      <w:r w:rsidRPr="00E10318">
        <w:rPr>
          <w:rFonts w:ascii="仿宋" w:eastAsia="仿宋" w:hAnsi="仿宋" w:cs="仿宋_GB2312" w:hint="eastAsia"/>
          <w:kern w:val="0"/>
          <w:sz w:val="32"/>
          <w:szCs w:val="32"/>
        </w:rPr>
        <w:t xml:space="preserve">期货公司会员应当向交易所提供下列材料: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（一）填写完整的《非</w:t>
      </w:r>
      <w:r w:rsidRPr="00E10318">
        <w:rPr>
          <w:rFonts w:ascii="仿宋" w:eastAsia="仿宋" w:hAnsi="仿宋" w:cs="仿宋_GB2312" w:hint="eastAsia"/>
          <w:kern w:val="0"/>
          <w:sz w:val="32"/>
          <w:szCs w:val="32"/>
        </w:rPr>
        <w:t xml:space="preserve">期货公司会员大户报告表》，内容包括会员名称、会员号、合约代码、现有持仓、持仓性质、持仓保证金、可动用资金、持仓意向、预报交割数量、申请交割数量;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（二）资金来源说明;</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（三）交易所要求提供的其他材料。</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第二十九条 达到交易所报告界限的</w:t>
      </w:r>
      <w:r w:rsidRPr="00E10318">
        <w:rPr>
          <w:rFonts w:ascii="仿宋" w:eastAsia="仿宋" w:hAnsi="仿宋" w:cs="仿宋_GB2312" w:hint="eastAsia"/>
          <w:kern w:val="0"/>
          <w:sz w:val="32"/>
          <w:szCs w:val="32"/>
        </w:rPr>
        <w:t xml:space="preserve">客户应当提供下列材料: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（一）填写完整的《</w:t>
      </w:r>
      <w:r w:rsidRPr="00E10318">
        <w:rPr>
          <w:rFonts w:ascii="仿宋" w:eastAsia="仿宋" w:hAnsi="仿宋" w:cs="仿宋_GB2312" w:hint="eastAsia"/>
          <w:kern w:val="0"/>
          <w:sz w:val="32"/>
          <w:szCs w:val="32"/>
        </w:rPr>
        <w:t xml:space="preserve">客户大户报告表》，内容包括会员名称、会员号、客户名称和编码、合约代码、现有持仓、持仓性质、持仓保证金、可动用资金、持仓意向、预报交割数量、申请交割数量等;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lastRenderedPageBreak/>
        <w:t>（二）资金来源说明;</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（三）开户材料及当日结算单据;</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（四）交易所要求提供的其他材料。</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 xml:space="preserve">第三十条 </w:t>
      </w:r>
      <w:r w:rsidRPr="00E10318">
        <w:rPr>
          <w:rFonts w:ascii="仿宋" w:eastAsia="仿宋" w:hAnsi="仿宋" w:cs="仿宋_GB2312" w:hint="eastAsia"/>
          <w:kern w:val="0"/>
          <w:sz w:val="32"/>
          <w:szCs w:val="32"/>
        </w:rPr>
        <w:t>期货公司会员应当对达到交易所报告界限的客户所提供的有关</w:t>
      </w:r>
      <w:r w:rsidRPr="00E10318">
        <w:rPr>
          <w:rFonts w:ascii="仿宋" w:eastAsia="仿宋" w:hAnsi="仿宋" w:cs="宋体" w:hint="eastAsia"/>
          <w:kern w:val="0"/>
          <w:sz w:val="32"/>
          <w:szCs w:val="32"/>
        </w:rPr>
        <w:t>材料进行初审，然后转交交易所。</w:t>
      </w:r>
      <w:r w:rsidRPr="00E10318">
        <w:rPr>
          <w:rFonts w:ascii="仿宋" w:eastAsia="仿宋" w:hAnsi="仿宋" w:cs="仿宋_GB2312" w:hint="eastAsia"/>
          <w:kern w:val="0"/>
          <w:sz w:val="32"/>
          <w:szCs w:val="32"/>
        </w:rPr>
        <w:t>期货公司会员应当保证客户所</w:t>
      </w:r>
      <w:r w:rsidRPr="00E10318">
        <w:rPr>
          <w:rFonts w:ascii="仿宋" w:eastAsia="仿宋" w:hAnsi="仿宋" w:cs="宋体" w:hint="eastAsia"/>
          <w:kern w:val="0"/>
          <w:sz w:val="32"/>
          <w:szCs w:val="32"/>
        </w:rPr>
        <w:t>提供的材料的真实性</w:t>
      </w:r>
      <w:r w:rsidRPr="00E10318">
        <w:rPr>
          <w:rFonts w:ascii="仿宋" w:eastAsia="仿宋" w:hAnsi="仿宋" w:cs="仿宋_GB2312" w:hint="eastAsia"/>
          <w:kern w:val="0"/>
          <w:sz w:val="32"/>
          <w:szCs w:val="32"/>
        </w:rPr>
        <w:t>，并妥善保管有关大户报告的客户签字原始文件或电话录音等其他证明文档。</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仿宋_GB2312" w:hint="eastAsia"/>
          <w:kern w:val="0"/>
          <w:sz w:val="32"/>
          <w:szCs w:val="32"/>
        </w:rPr>
        <w:t>第三十一条 交易所可以不定期地对会员或客户提供的材料进行核查。</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 xml:space="preserve">第三十二条 </w:t>
      </w:r>
      <w:r w:rsidRPr="00E10318">
        <w:rPr>
          <w:rFonts w:ascii="仿宋" w:eastAsia="仿宋" w:hAnsi="仿宋" w:cs="仿宋_GB2312" w:hint="eastAsia"/>
          <w:kern w:val="0"/>
          <w:sz w:val="32"/>
          <w:szCs w:val="32"/>
        </w:rPr>
        <w:t>客户在不同期货公司会员处开有多个交易编码，各交易编码持有头寸数额合计达到报告界限，由交易所指定并通知有关期货公司会员，负责报送该客户应当报告情况的有关材料。</w:t>
      </w:r>
    </w:p>
    <w:p w:rsidR="00E10318" w:rsidRPr="00E10318" w:rsidRDefault="00E10318" w:rsidP="00E10318">
      <w:pPr>
        <w:widowControl/>
        <w:spacing w:before="100" w:beforeAutospacing="1" w:after="100" w:afterAutospacing="1"/>
        <w:jc w:val="left"/>
        <w:rPr>
          <w:rFonts w:ascii="宋体" w:eastAsia="宋体" w:hAnsi="宋体" w:cs="宋体"/>
          <w:kern w:val="0"/>
          <w:sz w:val="24"/>
          <w:szCs w:val="24"/>
        </w:rPr>
      </w:pPr>
      <w:r w:rsidRPr="00E10318">
        <w:rPr>
          <w:rFonts w:ascii="宋体" w:eastAsia="宋体" w:hAnsi="宋体" w:cs="宋体" w:hint="eastAsia"/>
          <w:kern w:val="0"/>
          <w:sz w:val="24"/>
          <w:szCs w:val="24"/>
        </w:rPr>
        <w:t> </w:t>
      </w:r>
    </w:p>
    <w:p w:rsidR="00E10318" w:rsidRPr="00E10318" w:rsidRDefault="00E10318" w:rsidP="00E10318">
      <w:pPr>
        <w:widowControl/>
        <w:adjustRightInd w:val="0"/>
        <w:spacing w:before="100" w:beforeAutospacing="1" w:after="100" w:afterAutospacing="1" w:line="520" w:lineRule="exact"/>
        <w:jc w:val="center"/>
        <w:rPr>
          <w:rFonts w:ascii="宋体" w:eastAsia="宋体" w:hAnsi="宋体" w:cs="宋体"/>
          <w:kern w:val="0"/>
          <w:sz w:val="24"/>
          <w:szCs w:val="24"/>
        </w:rPr>
      </w:pPr>
      <w:r w:rsidRPr="00E10318">
        <w:rPr>
          <w:rFonts w:ascii="仿宋" w:eastAsia="仿宋" w:hAnsi="仿宋" w:cs="宋体" w:hint="eastAsia"/>
          <w:b/>
          <w:bCs/>
          <w:kern w:val="0"/>
          <w:sz w:val="32"/>
          <w:szCs w:val="32"/>
        </w:rPr>
        <w:t>第七章 强行平仓制度</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第三十三条 为控制市场风险，交易所实行强行平仓制度。强行平仓是指当会员、</w:t>
      </w:r>
      <w:r w:rsidRPr="00E10318">
        <w:rPr>
          <w:rFonts w:ascii="仿宋" w:eastAsia="仿宋" w:hAnsi="仿宋" w:cs="仿宋_GB2312" w:hint="eastAsia"/>
          <w:kern w:val="0"/>
          <w:sz w:val="32"/>
          <w:szCs w:val="32"/>
        </w:rPr>
        <w:t>客户违规时，交易所对其有关持仓实行平仓的一种强制措施。</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第三十四条 当会员、</w:t>
      </w:r>
      <w:r w:rsidRPr="00E10318">
        <w:rPr>
          <w:rFonts w:ascii="仿宋" w:eastAsia="仿宋" w:hAnsi="仿宋" w:cs="仿宋_GB2312" w:hint="eastAsia"/>
          <w:kern w:val="0"/>
          <w:sz w:val="32"/>
          <w:szCs w:val="32"/>
        </w:rPr>
        <w:t>客户出现下列情况之一时，交易所对其持仓实行</w:t>
      </w:r>
      <w:r w:rsidRPr="00E10318">
        <w:rPr>
          <w:rFonts w:ascii="仿宋" w:eastAsia="仿宋" w:hAnsi="仿宋" w:cs="宋体" w:hint="eastAsia"/>
          <w:kern w:val="0"/>
          <w:sz w:val="32"/>
          <w:szCs w:val="32"/>
        </w:rPr>
        <w:t>强行平仓:</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lastRenderedPageBreak/>
        <w:t xml:space="preserve">（一）会员结算准备金余额小于零，并未能在规定时限内补足的;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 xml:space="preserve">（二）持仓量超出其限仓规定的;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（三）相关品种持仓没有在规定时间内按要求调整为相应整倍数的；</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 xml:space="preserve">（四）因违规受到交易所强行平仓处罚的;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 xml:space="preserve">（五）根据交易所的紧急措施应当予以强行平仓的;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（六）其他应当予以强行平仓的。</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第三十五条 强行平仓的执行原则</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强行平仓先由会员自己执行，时限除交易所特别规定外，一律为开市后第一节交易时间内。若时限内会员未执行完毕，则由交易所强制执行。因结算准备金小于零而被要求强行平仓的，在保证金补足前，禁止相关会员的开仓交易。</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（一）由会员单位执行的强行平</w:t>
      </w:r>
      <w:proofErr w:type="gramStart"/>
      <w:r w:rsidRPr="00E10318">
        <w:rPr>
          <w:rFonts w:ascii="仿宋" w:eastAsia="仿宋" w:hAnsi="仿宋" w:cs="宋体" w:hint="eastAsia"/>
          <w:kern w:val="0"/>
          <w:sz w:val="32"/>
          <w:szCs w:val="32"/>
        </w:rPr>
        <w:t>仓头</w:t>
      </w:r>
      <w:proofErr w:type="gramEnd"/>
      <w:r w:rsidRPr="00E10318">
        <w:rPr>
          <w:rFonts w:ascii="仿宋" w:eastAsia="仿宋" w:hAnsi="仿宋" w:cs="宋体" w:hint="eastAsia"/>
          <w:kern w:val="0"/>
          <w:sz w:val="32"/>
          <w:szCs w:val="32"/>
        </w:rPr>
        <w:t>寸的确定</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1、属第三十四条第（一）项、第（二）项的强行平仓，其需要强行平</w:t>
      </w:r>
      <w:proofErr w:type="gramStart"/>
      <w:r w:rsidRPr="00E10318">
        <w:rPr>
          <w:rFonts w:ascii="仿宋" w:eastAsia="仿宋" w:hAnsi="仿宋" w:cs="宋体" w:hint="eastAsia"/>
          <w:kern w:val="0"/>
          <w:sz w:val="32"/>
          <w:szCs w:val="32"/>
        </w:rPr>
        <w:t>仓头寸由会员</w:t>
      </w:r>
      <w:proofErr w:type="gramEnd"/>
      <w:r w:rsidRPr="00E10318">
        <w:rPr>
          <w:rFonts w:ascii="仿宋" w:eastAsia="仿宋" w:hAnsi="仿宋" w:cs="宋体" w:hint="eastAsia"/>
          <w:kern w:val="0"/>
          <w:sz w:val="32"/>
          <w:szCs w:val="32"/>
        </w:rPr>
        <w:t>单位自行确定，只要强行平仓结果符合交易所规则即可。</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2、属第三十四条第（三）项、第（四）项、第（五）项、第（六）项的强行平仓，其需要强行平</w:t>
      </w:r>
      <w:proofErr w:type="gramStart"/>
      <w:r w:rsidRPr="00E10318">
        <w:rPr>
          <w:rFonts w:ascii="仿宋" w:eastAsia="仿宋" w:hAnsi="仿宋" w:cs="宋体" w:hint="eastAsia"/>
          <w:kern w:val="0"/>
          <w:sz w:val="32"/>
          <w:szCs w:val="32"/>
        </w:rPr>
        <w:t>仓头寸由交易所</w:t>
      </w:r>
      <w:proofErr w:type="gramEnd"/>
      <w:r w:rsidRPr="00E10318">
        <w:rPr>
          <w:rFonts w:ascii="仿宋" w:eastAsia="仿宋" w:hAnsi="仿宋" w:cs="宋体" w:hint="eastAsia"/>
          <w:kern w:val="0"/>
          <w:sz w:val="32"/>
          <w:szCs w:val="32"/>
        </w:rPr>
        <w:t>确定。</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lastRenderedPageBreak/>
        <w:t>（二）由交易所执行的强行平</w:t>
      </w:r>
      <w:proofErr w:type="gramStart"/>
      <w:r w:rsidRPr="00E10318">
        <w:rPr>
          <w:rFonts w:ascii="仿宋" w:eastAsia="仿宋" w:hAnsi="仿宋" w:cs="宋体" w:hint="eastAsia"/>
          <w:kern w:val="0"/>
          <w:sz w:val="32"/>
          <w:szCs w:val="32"/>
        </w:rPr>
        <w:t>仓头</w:t>
      </w:r>
      <w:proofErr w:type="gramEnd"/>
      <w:r w:rsidRPr="00E10318">
        <w:rPr>
          <w:rFonts w:ascii="仿宋" w:eastAsia="仿宋" w:hAnsi="仿宋" w:cs="宋体" w:hint="eastAsia"/>
          <w:kern w:val="0"/>
          <w:sz w:val="32"/>
          <w:szCs w:val="32"/>
        </w:rPr>
        <w:t>寸的确定</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1、属第三十四条第（一）项的强行平仓: 其需要强行平仓的头寸由交易所按先投机、后套期保值的原则; 并按上一交易日闭市后合约总持仓量由大到小顺序，先选择持仓量大的合约作为强行平仓的合约; 再按该会员所有</w:t>
      </w:r>
      <w:r w:rsidRPr="00E10318">
        <w:rPr>
          <w:rFonts w:ascii="仿宋" w:eastAsia="仿宋" w:hAnsi="仿宋" w:cs="仿宋_GB2312" w:hint="eastAsia"/>
          <w:kern w:val="0"/>
          <w:sz w:val="32"/>
          <w:szCs w:val="32"/>
        </w:rPr>
        <w:t>客户该合约的净持仓亏损由大到小确定。</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若多个会员需要强行平仓的，按追加保证金由大到小的顺序，先</w:t>
      </w:r>
      <w:proofErr w:type="gramStart"/>
      <w:r w:rsidRPr="00E10318">
        <w:rPr>
          <w:rFonts w:ascii="仿宋" w:eastAsia="仿宋" w:hAnsi="仿宋" w:cs="宋体" w:hint="eastAsia"/>
          <w:kern w:val="0"/>
          <w:sz w:val="32"/>
          <w:szCs w:val="32"/>
        </w:rPr>
        <w:t>平需要</w:t>
      </w:r>
      <w:proofErr w:type="gramEnd"/>
      <w:r w:rsidRPr="00E10318">
        <w:rPr>
          <w:rFonts w:ascii="仿宋" w:eastAsia="仿宋" w:hAnsi="仿宋" w:cs="宋体" w:hint="eastAsia"/>
          <w:kern w:val="0"/>
          <w:sz w:val="32"/>
          <w:szCs w:val="32"/>
        </w:rPr>
        <w:t>追加保证金大的会员。</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2、属第三十四条第（二）项的，交易所采取以下措施: 若系客户（或非期货公司会员）超仓，则对该客户（或非期货公司会员）的超</w:t>
      </w:r>
      <w:proofErr w:type="gramStart"/>
      <w:r w:rsidRPr="00E10318">
        <w:rPr>
          <w:rFonts w:ascii="仿宋" w:eastAsia="仿宋" w:hAnsi="仿宋" w:cs="宋体" w:hint="eastAsia"/>
          <w:kern w:val="0"/>
          <w:sz w:val="32"/>
          <w:szCs w:val="32"/>
        </w:rPr>
        <w:t>仓头</w:t>
      </w:r>
      <w:proofErr w:type="gramEnd"/>
      <w:r w:rsidRPr="00E10318">
        <w:rPr>
          <w:rFonts w:ascii="仿宋" w:eastAsia="仿宋" w:hAnsi="仿宋" w:cs="宋体" w:hint="eastAsia"/>
          <w:kern w:val="0"/>
          <w:sz w:val="32"/>
          <w:szCs w:val="32"/>
        </w:rPr>
        <w:t>寸进行强行平仓；若系期货公司会员达到或者超过持仓限额的，不得同方向开仓交易。</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3、属第三十四条第（三）项、第（四）项、第（五）项、第（六）项的强行平仓，强行平</w:t>
      </w:r>
      <w:proofErr w:type="gramStart"/>
      <w:r w:rsidRPr="00E10318">
        <w:rPr>
          <w:rFonts w:ascii="仿宋" w:eastAsia="仿宋" w:hAnsi="仿宋" w:cs="宋体" w:hint="eastAsia"/>
          <w:kern w:val="0"/>
          <w:sz w:val="32"/>
          <w:szCs w:val="32"/>
        </w:rPr>
        <w:t>仓头寸由交易所</w:t>
      </w:r>
      <w:proofErr w:type="gramEnd"/>
      <w:r w:rsidRPr="00E10318">
        <w:rPr>
          <w:rFonts w:ascii="仿宋" w:eastAsia="仿宋" w:hAnsi="仿宋" w:cs="宋体" w:hint="eastAsia"/>
          <w:kern w:val="0"/>
          <w:sz w:val="32"/>
          <w:szCs w:val="32"/>
        </w:rPr>
        <w:t>根据涉及的会员和</w:t>
      </w:r>
      <w:r w:rsidRPr="00E10318">
        <w:rPr>
          <w:rFonts w:ascii="仿宋" w:eastAsia="仿宋" w:hAnsi="仿宋" w:cs="仿宋_GB2312" w:hint="eastAsia"/>
          <w:kern w:val="0"/>
          <w:sz w:val="32"/>
          <w:szCs w:val="32"/>
        </w:rPr>
        <w:t>客户具体情况确定。</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若会员同时满足第三十四条第（一）项、第（二）项情况，交易所先按第（二）项情况确定强行平</w:t>
      </w:r>
      <w:proofErr w:type="gramStart"/>
      <w:r w:rsidRPr="00E10318">
        <w:rPr>
          <w:rFonts w:ascii="仿宋" w:eastAsia="仿宋" w:hAnsi="仿宋" w:cs="宋体" w:hint="eastAsia"/>
          <w:kern w:val="0"/>
          <w:sz w:val="32"/>
          <w:szCs w:val="32"/>
        </w:rPr>
        <w:t>仓头</w:t>
      </w:r>
      <w:proofErr w:type="gramEnd"/>
      <w:r w:rsidRPr="00E10318">
        <w:rPr>
          <w:rFonts w:ascii="仿宋" w:eastAsia="仿宋" w:hAnsi="仿宋" w:cs="宋体" w:hint="eastAsia"/>
          <w:kern w:val="0"/>
          <w:sz w:val="32"/>
          <w:szCs w:val="32"/>
        </w:rPr>
        <w:t>寸，再按第（一）项情况确定强行平</w:t>
      </w:r>
      <w:proofErr w:type="gramStart"/>
      <w:r w:rsidRPr="00E10318">
        <w:rPr>
          <w:rFonts w:ascii="仿宋" w:eastAsia="仿宋" w:hAnsi="仿宋" w:cs="宋体" w:hint="eastAsia"/>
          <w:kern w:val="0"/>
          <w:sz w:val="32"/>
          <w:szCs w:val="32"/>
        </w:rPr>
        <w:t>仓头</w:t>
      </w:r>
      <w:proofErr w:type="gramEnd"/>
      <w:r w:rsidRPr="00E10318">
        <w:rPr>
          <w:rFonts w:ascii="仿宋" w:eastAsia="仿宋" w:hAnsi="仿宋" w:cs="宋体" w:hint="eastAsia"/>
          <w:kern w:val="0"/>
          <w:sz w:val="32"/>
          <w:szCs w:val="32"/>
        </w:rPr>
        <w:t>寸。</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第三十六条 强行平仓的执行</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（一）通知。交易所以“强行平仓通知书”（以下简称通知书）的形式向有关会员下达强行平仓要求。通知书除交易所特别送达以外，随当日结算数据发送，有关会员可以通过会员服务系统获得。</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lastRenderedPageBreak/>
        <w:t>（二）执行及确认。</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1、开市后，有关会员应当首先自行平仓，直至达到平仓要求。执行结果由交易所审核;</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会员有本办法第三十四条第（三）项情形的，交易所可以直接执行强行平仓；</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 xml:space="preserve">2、超过会员自行强行平仓时限而未执行完毕的，剩余部分由交易所直接执行强行平仓;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 xml:space="preserve">3、强行平仓执行完毕后，由交易所记录执行结果存档;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4、强行平仓结果随当日成交记录发送，有关会员可以通过会员服务系统获得。</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第三十七条 强行平仓的价格通过市场交易形成。</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第三十八条 因受价格涨跌停板限制或其他市场原因制约而无法在规定时限内完成全部强行平仓的，其剩余持</w:t>
      </w:r>
      <w:proofErr w:type="gramStart"/>
      <w:r w:rsidRPr="00E10318">
        <w:rPr>
          <w:rFonts w:ascii="仿宋" w:eastAsia="仿宋" w:hAnsi="仿宋" w:cs="宋体" w:hint="eastAsia"/>
          <w:kern w:val="0"/>
          <w:sz w:val="32"/>
          <w:szCs w:val="32"/>
        </w:rPr>
        <w:t>仓头寸</w:t>
      </w:r>
      <w:proofErr w:type="gramEnd"/>
      <w:r w:rsidRPr="00E10318">
        <w:rPr>
          <w:rFonts w:ascii="仿宋" w:eastAsia="仿宋" w:hAnsi="仿宋" w:cs="宋体" w:hint="eastAsia"/>
          <w:kern w:val="0"/>
          <w:sz w:val="32"/>
          <w:szCs w:val="32"/>
        </w:rPr>
        <w:t>可以顺延至下一交易日继续平仓，仍按第三十五条原则执行，直至平仓完毕。</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第三十九条 如因价格涨跌停板或其他市场原因而无法在当日完成全部强行平仓的，交易所根据结算结果，对该会员</w:t>
      </w:r>
      <w:proofErr w:type="gramStart"/>
      <w:r w:rsidRPr="00E10318">
        <w:rPr>
          <w:rFonts w:ascii="仿宋" w:eastAsia="仿宋" w:hAnsi="仿宋" w:cs="宋体" w:hint="eastAsia"/>
          <w:kern w:val="0"/>
          <w:sz w:val="32"/>
          <w:szCs w:val="32"/>
        </w:rPr>
        <w:t>作出</w:t>
      </w:r>
      <w:proofErr w:type="gramEnd"/>
      <w:r w:rsidRPr="00E10318">
        <w:rPr>
          <w:rFonts w:ascii="仿宋" w:eastAsia="仿宋" w:hAnsi="仿宋" w:cs="宋体" w:hint="eastAsia"/>
          <w:kern w:val="0"/>
          <w:sz w:val="32"/>
          <w:szCs w:val="32"/>
        </w:rPr>
        <w:t>相应的处理。</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第四十条 由于价格涨跌停板限制或其他市场原因，有关持仓的强行平仓只能延时完成的，而因此发生的亏损，仍</w:t>
      </w:r>
      <w:r w:rsidRPr="00E10318">
        <w:rPr>
          <w:rFonts w:ascii="仿宋" w:eastAsia="仿宋" w:hAnsi="仿宋" w:cs="宋体" w:hint="eastAsia"/>
          <w:kern w:val="0"/>
          <w:sz w:val="32"/>
          <w:szCs w:val="32"/>
        </w:rPr>
        <w:lastRenderedPageBreak/>
        <w:t>由直接责任人承担; 未能完成平仓的，该持仓持有者应当继续对此承担持仓责任或交割义务。</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第四十一条 由会员单位执行的强行平仓产生的盈利仍归直接责任人; 由交易所执行的强行平仓产生的盈利按国家有关规定执行; 因强行平仓发生的亏损由直接责任人承担。</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直接责任人是</w:t>
      </w:r>
      <w:r w:rsidRPr="00E10318">
        <w:rPr>
          <w:rFonts w:ascii="仿宋" w:eastAsia="仿宋" w:hAnsi="仿宋" w:cs="仿宋_GB2312" w:hint="eastAsia"/>
          <w:kern w:val="0"/>
          <w:sz w:val="32"/>
          <w:szCs w:val="32"/>
        </w:rPr>
        <w:t>客户的，强行平仓后发生的亏损，由该客户开户所在期货公司会员先行承担后，自行向该客户追索。</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宋体" w:eastAsia="宋体" w:hAnsi="宋体" w:cs="宋体" w:hint="eastAsia"/>
          <w:kern w:val="0"/>
          <w:sz w:val="32"/>
          <w:szCs w:val="32"/>
        </w:rPr>
        <w:t> </w:t>
      </w:r>
    </w:p>
    <w:p w:rsidR="00E10318" w:rsidRPr="00E10318" w:rsidRDefault="00E10318" w:rsidP="00E10318">
      <w:pPr>
        <w:widowControl/>
        <w:adjustRightInd w:val="0"/>
        <w:spacing w:before="100" w:beforeAutospacing="1" w:after="100" w:afterAutospacing="1" w:line="520" w:lineRule="exact"/>
        <w:jc w:val="center"/>
        <w:rPr>
          <w:rFonts w:ascii="宋体" w:eastAsia="宋体" w:hAnsi="宋体" w:cs="宋体"/>
          <w:kern w:val="0"/>
          <w:sz w:val="24"/>
          <w:szCs w:val="24"/>
        </w:rPr>
      </w:pPr>
      <w:r w:rsidRPr="00E10318">
        <w:rPr>
          <w:rFonts w:ascii="仿宋" w:eastAsia="仿宋" w:hAnsi="仿宋" w:cs="宋体" w:hint="eastAsia"/>
          <w:b/>
          <w:bCs/>
          <w:kern w:val="0"/>
          <w:sz w:val="36"/>
          <w:szCs w:val="36"/>
        </w:rPr>
        <w:t>第八章 风险警示制度</w:t>
      </w:r>
    </w:p>
    <w:p w:rsidR="00E10318" w:rsidRPr="00E10318" w:rsidRDefault="00E10318" w:rsidP="00E10318">
      <w:pPr>
        <w:widowControl/>
        <w:spacing w:before="100" w:beforeAutospacing="1" w:after="100" w:afterAutospacing="1"/>
        <w:jc w:val="left"/>
        <w:rPr>
          <w:rFonts w:ascii="宋体" w:eastAsia="宋体" w:hAnsi="宋体" w:cs="宋体"/>
          <w:kern w:val="0"/>
          <w:sz w:val="24"/>
          <w:szCs w:val="24"/>
        </w:rPr>
      </w:pPr>
      <w:r w:rsidRPr="00E10318">
        <w:rPr>
          <w:rFonts w:ascii="宋体" w:eastAsia="宋体" w:hAnsi="宋体" w:cs="宋体" w:hint="eastAsia"/>
          <w:kern w:val="0"/>
          <w:sz w:val="24"/>
          <w:szCs w:val="24"/>
        </w:rPr>
        <w:t>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第四十二条 交易所实行风险警示制度。当交易所认为必要时，可以分别或同时采取要求报告情况、谈话提醒、书面警示、公开谴责、发布风险警示公告等措施中的一种或多种，以警示和化解风险。</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第四十三条 出现下列情形之一的，交易所可以约见指定的会员高管人员或</w:t>
      </w:r>
      <w:r w:rsidRPr="00E10318">
        <w:rPr>
          <w:rFonts w:ascii="仿宋" w:eastAsia="仿宋" w:hAnsi="仿宋" w:cs="仿宋_GB2312" w:hint="eastAsia"/>
          <w:kern w:val="0"/>
          <w:sz w:val="32"/>
          <w:szCs w:val="32"/>
        </w:rPr>
        <w:t>客户谈话提醒风险，或要求会员或客户报告情况:</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（一）期货价格出现异常;</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（二）会员或</w:t>
      </w:r>
      <w:r w:rsidRPr="00E10318">
        <w:rPr>
          <w:rFonts w:ascii="仿宋" w:eastAsia="仿宋" w:hAnsi="仿宋" w:cs="仿宋_GB2312" w:hint="eastAsia"/>
          <w:kern w:val="0"/>
          <w:sz w:val="32"/>
          <w:szCs w:val="32"/>
        </w:rPr>
        <w:t>客户交易异常;</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（三）会员或客户持仓异常;</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lastRenderedPageBreak/>
        <w:t>（四）会员资金异常;</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（五）会员或客户涉嫌违规、违约;</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（六）交易所接到投诉涉及到会员或</w:t>
      </w:r>
      <w:r w:rsidRPr="00E10318">
        <w:rPr>
          <w:rFonts w:ascii="仿宋" w:eastAsia="仿宋" w:hAnsi="仿宋" w:cs="仿宋_GB2312" w:hint="eastAsia"/>
          <w:kern w:val="0"/>
          <w:sz w:val="32"/>
          <w:szCs w:val="32"/>
        </w:rPr>
        <w:t>客户;</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（七）会员涉及司法调查;</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（八）交易所认定的其他情况。</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交易所实施谈话提醒应当遵守下列要求:</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（一）交易所发出书面通知，约见指定的会员高管人员或</w:t>
      </w:r>
      <w:r w:rsidRPr="00E10318">
        <w:rPr>
          <w:rFonts w:ascii="仿宋" w:eastAsia="仿宋" w:hAnsi="仿宋" w:cs="仿宋_GB2312" w:hint="eastAsia"/>
          <w:kern w:val="0"/>
          <w:sz w:val="32"/>
          <w:szCs w:val="32"/>
        </w:rPr>
        <w:t>客户谈话。客户应当由会员指定人员陪同;</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（二）交易所安排谈话提醒时，应当将谈话时间、地点、要求等以书面形式提前一天通知会员;</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（三）谈话对象确因特殊情况不能参加的，应当事先报告交易所，经交易所同意后可以书面委托有关人员代理;</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（四）谈话对象应当如实陈述、不得故意隐瞒事实;</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（五）交易所工作人员应当对谈话的有关信息予以保密。</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交易所要求会员或</w:t>
      </w:r>
      <w:r w:rsidRPr="00E10318">
        <w:rPr>
          <w:rFonts w:ascii="仿宋" w:eastAsia="仿宋" w:hAnsi="仿宋" w:cs="仿宋_GB2312" w:hint="eastAsia"/>
          <w:kern w:val="0"/>
          <w:sz w:val="32"/>
          <w:szCs w:val="32"/>
        </w:rPr>
        <w:t>客户报告情况的，有关报告方式和报告内容参照大户报告制度。</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第四十四条 通过情况报告和谈话，发现会员或</w:t>
      </w:r>
      <w:r w:rsidRPr="00E10318">
        <w:rPr>
          <w:rFonts w:ascii="仿宋" w:eastAsia="仿宋" w:hAnsi="仿宋" w:cs="仿宋_GB2312" w:hint="eastAsia"/>
          <w:kern w:val="0"/>
          <w:sz w:val="32"/>
          <w:szCs w:val="32"/>
        </w:rPr>
        <w:t>客户有违规嫌疑、交易头寸有较大风险的，交易所可以对会员或客户发出书面的“风险警示函”。</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lastRenderedPageBreak/>
        <w:t>第四十五条 发生下列情形之一的，交易所可以在指定的有关媒体上对有关会员和</w:t>
      </w:r>
      <w:r w:rsidRPr="00E10318">
        <w:rPr>
          <w:rFonts w:ascii="仿宋" w:eastAsia="仿宋" w:hAnsi="仿宋" w:cs="仿宋_GB2312" w:hint="eastAsia"/>
          <w:kern w:val="0"/>
          <w:sz w:val="32"/>
          <w:szCs w:val="32"/>
        </w:rPr>
        <w:t>客户进行公开谴责:</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（一）不按交易所要求报告情况或者谈话的;</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（二）故意隐瞒事实，瞒报、错报、漏报重要信息的;</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（三）故意销毁违规违约证明材料, 不配合中国证监会或者交易所调查的;</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（四）经查实存在欺诈</w:t>
      </w:r>
      <w:r w:rsidRPr="00E10318">
        <w:rPr>
          <w:rFonts w:ascii="仿宋" w:eastAsia="仿宋" w:hAnsi="仿宋" w:cs="仿宋_GB2312" w:hint="eastAsia"/>
          <w:kern w:val="0"/>
          <w:sz w:val="32"/>
          <w:szCs w:val="32"/>
        </w:rPr>
        <w:t>客户行为的;</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（五）经查实参与分</w:t>
      </w:r>
      <w:proofErr w:type="gramStart"/>
      <w:r w:rsidRPr="00E10318">
        <w:rPr>
          <w:rFonts w:ascii="仿宋" w:eastAsia="仿宋" w:hAnsi="仿宋" w:cs="宋体" w:hint="eastAsia"/>
          <w:kern w:val="0"/>
          <w:sz w:val="32"/>
          <w:szCs w:val="32"/>
        </w:rPr>
        <w:t>仓或者</w:t>
      </w:r>
      <w:proofErr w:type="gramEnd"/>
      <w:r w:rsidRPr="00E10318">
        <w:rPr>
          <w:rFonts w:ascii="仿宋" w:eastAsia="仿宋" w:hAnsi="仿宋" w:cs="宋体" w:hint="eastAsia"/>
          <w:kern w:val="0"/>
          <w:sz w:val="32"/>
          <w:szCs w:val="32"/>
        </w:rPr>
        <w:t>操纵市场的;</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（六）交易所认定的其他违规行为。</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交易所对相关会员或</w:t>
      </w:r>
      <w:r w:rsidRPr="00E10318">
        <w:rPr>
          <w:rFonts w:ascii="仿宋" w:eastAsia="仿宋" w:hAnsi="仿宋" w:cs="仿宋_GB2312" w:hint="eastAsia"/>
          <w:kern w:val="0"/>
          <w:sz w:val="32"/>
          <w:szCs w:val="32"/>
        </w:rPr>
        <w:t>客户进行公开谴责的同时，对其违规行为，按《上海期货交易所违规处理办法》有关规定处理。</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第四十六条 发生下列情形之一的，交易所可以发出风险警示公告，向全体会员和</w:t>
      </w:r>
      <w:r w:rsidRPr="00E10318">
        <w:rPr>
          <w:rFonts w:ascii="仿宋" w:eastAsia="仿宋" w:hAnsi="仿宋" w:cs="仿宋_GB2312" w:hint="eastAsia"/>
          <w:kern w:val="0"/>
          <w:sz w:val="32"/>
          <w:szCs w:val="32"/>
        </w:rPr>
        <w:t>客户警示风险:</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（一）期货价格出现异常;</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（二）期货价格和现货价格出现较大差距;</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（三）国内期货价格和国际市场价格出现较大差距;</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（四）交易所认定的其他异常情况。</w:t>
      </w:r>
    </w:p>
    <w:p w:rsidR="00E10318" w:rsidRPr="00E10318" w:rsidRDefault="00E10318" w:rsidP="00E10318">
      <w:pPr>
        <w:widowControl/>
        <w:spacing w:before="100" w:beforeAutospacing="1" w:after="100" w:afterAutospacing="1"/>
        <w:jc w:val="left"/>
        <w:rPr>
          <w:rFonts w:ascii="宋体" w:eastAsia="宋体" w:hAnsi="宋体" w:cs="宋体"/>
          <w:kern w:val="0"/>
          <w:sz w:val="24"/>
          <w:szCs w:val="24"/>
        </w:rPr>
      </w:pPr>
      <w:r w:rsidRPr="00E10318">
        <w:rPr>
          <w:rFonts w:ascii="宋体" w:eastAsia="宋体" w:hAnsi="宋体" w:cs="宋体" w:hint="eastAsia"/>
          <w:kern w:val="0"/>
          <w:sz w:val="24"/>
          <w:szCs w:val="24"/>
        </w:rPr>
        <w:t> </w:t>
      </w:r>
    </w:p>
    <w:p w:rsidR="00E10318" w:rsidRPr="00E10318" w:rsidRDefault="00E10318" w:rsidP="00E10318">
      <w:pPr>
        <w:widowControl/>
        <w:adjustRightInd w:val="0"/>
        <w:spacing w:before="100" w:beforeAutospacing="1" w:after="100" w:afterAutospacing="1" w:line="520" w:lineRule="exact"/>
        <w:jc w:val="center"/>
        <w:rPr>
          <w:rFonts w:ascii="宋体" w:eastAsia="宋体" w:hAnsi="宋体" w:cs="宋体"/>
          <w:kern w:val="0"/>
          <w:sz w:val="24"/>
          <w:szCs w:val="24"/>
        </w:rPr>
      </w:pPr>
      <w:r w:rsidRPr="00E10318">
        <w:rPr>
          <w:rFonts w:ascii="仿宋" w:eastAsia="仿宋" w:hAnsi="仿宋" w:cs="宋体" w:hint="eastAsia"/>
          <w:b/>
          <w:bCs/>
          <w:kern w:val="0"/>
          <w:sz w:val="36"/>
          <w:szCs w:val="36"/>
        </w:rPr>
        <w:t>第九章 附 则</w:t>
      </w:r>
    </w:p>
    <w:p w:rsidR="00E10318" w:rsidRPr="00E10318" w:rsidRDefault="00E10318" w:rsidP="00E10318">
      <w:pPr>
        <w:widowControl/>
        <w:spacing w:before="100" w:beforeAutospacing="1" w:after="100" w:afterAutospacing="1"/>
        <w:jc w:val="left"/>
        <w:rPr>
          <w:rFonts w:ascii="宋体" w:eastAsia="宋体" w:hAnsi="宋体" w:cs="宋体"/>
          <w:kern w:val="0"/>
          <w:sz w:val="24"/>
          <w:szCs w:val="24"/>
        </w:rPr>
      </w:pPr>
      <w:r w:rsidRPr="00E10318">
        <w:rPr>
          <w:rFonts w:ascii="宋体" w:eastAsia="宋体" w:hAnsi="宋体" w:cs="宋体" w:hint="eastAsia"/>
          <w:kern w:val="0"/>
          <w:sz w:val="24"/>
          <w:szCs w:val="24"/>
        </w:rPr>
        <w:lastRenderedPageBreak/>
        <w:t>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第四十七条 违反本办法规定的，交易所可以按本办法和《上海期货交易所违规处理办法》的有关规定处理。</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第四十八条</w:t>
      </w:r>
      <w:r w:rsidRPr="00E10318">
        <w:rPr>
          <w:rFonts w:ascii="仿宋" w:eastAsia="仿宋" w:hAnsi="仿宋" w:cs="宋体" w:hint="eastAsia"/>
          <w:kern w:val="0"/>
          <w:sz w:val="32"/>
          <w:szCs w:val="32"/>
        </w:rPr>
        <w:t> </w:t>
      </w:r>
      <w:r w:rsidRPr="00E10318">
        <w:rPr>
          <w:rFonts w:ascii="仿宋" w:eastAsia="仿宋" w:hAnsi="仿宋" w:cs="宋体" w:hint="eastAsia"/>
          <w:kern w:val="0"/>
          <w:sz w:val="32"/>
          <w:szCs w:val="32"/>
        </w:rPr>
        <w:t>除交易所另有规定外，本细则中涉及投机交易风险管理的规则，同等适用于非套期保值交易。</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第四十九条 有关连续交易相关的风险控制，上海期货交易所连续交易细则有特殊规定的，从其规定。</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第五十条 本办法解释权属于上海期货交易所。</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第五十一条 本办法自2016年6月1日起施行（但上期所公告[2016]59号另有规定的从其规定）。</w:t>
      </w:r>
    </w:p>
    <w:p w:rsidR="00E10318" w:rsidRPr="00E10318" w:rsidRDefault="00E10318" w:rsidP="00E10318">
      <w:pPr>
        <w:widowControl/>
        <w:spacing w:before="100" w:beforeAutospacing="1" w:after="100" w:afterAutospacing="1"/>
        <w:jc w:val="left"/>
        <w:rPr>
          <w:rFonts w:ascii="宋体" w:eastAsia="宋体" w:hAnsi="宋体" w:cs="宋体"/>
          <w:kern w:val="0"/>
          <w:sz w:val="24"/>
          <w:szCs w:val="24"/>
        </w:rPr>
      </w:pPr>
      <w:r w:rsidRPr="00E10318">
        <w:rPr>
          <w:rFonts w:ascii="宋体" w:eastAsia="宋体" w:hAnsi="宋体" w:cs="宋体" w:hint="eastAsia"/>
          <w:kern w:val="0"/>
          <w:sz w:val="32"/>
          <w:szCs w:val="32"/>
        </w:rPr>
        <w:t> </w:t>
      </w:r>
      <w:r w:rsidRPr="00E10318">
        <w:rPr>
          <w:rFonts w:ascii="仿宋" w:eastAsia="仿宋" w:hAnsi="仿宋" w:cs="宋体" w:hint="eastAsia"/>
          <w:b/>
          <w:bCs/>
          <w:kern w:val="0"/>
          <w:sz w:val="32"/>
          <w:szCs w:val="32"/>
        </w:rPr>
        <w:t>第一章 总 则</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第一条 为加强期货交易风险管理，维护交易当事人的合法权益，保证上海期货交易所（以下简称交易所）期货交易的正常进行，根据《上海期货交易所交易规则》制定本办法。</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第二条 交易所风险管理实行保证金制度、涨跌停板制度、限仓制度、交易限额制度、大户报告制度、强行平仓制度、风险警示制度。</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第三条 交易所、会员和客户应当遵守本办法。</w:t>
      </w:r>
    </w:p>
    <w:p w:rsidR="00E10318" w:rsidRPr="00E10318" w:rsidRDefault="00E10318" w:rsidP="00E10318">
      <w:pPr>
        <w:widowControl/>
        <w:spacing w:before="100" w:beforeAutospacing="1" w:after="100" w:afterAutospacing="1"/>
        <w:jc w:val="left"/>
        <w:rPr>
          <w:rFonts w:ascii="宋体" w:eastAsia="宋体" w:hAnsi="宋体" w:cs="宋体"/>
          <w:kern w:val="0"/>
          <w:sz w:val="24"/>
          <w:szCs w:val="24"/>
        </w:rPr>
      </w:pPr>
      <w:r w:rsidRPr="00E10318">
        <w:rPr>
          <w:rFonts w:ascii="宋体" w:eastAsia="宋体" w:hAnsi="宋体" w:cs="宋体" w:hint="eastAsia"/>
          <w:kern w:val="0"/>
          <w:sz w:val="24"/>
          <w:szCs w:val="24"/>
        </w:rPr>
        <w:t> </w:t>
      </w:r>
    </w:p>
    <w:p w:rsidR="00E10318" w:rsidRPr="00E10318" w:rsidRDefault="00E10318" w:rsidP="00E10318">
      <w:pPr>
        <w:widowControl/>
        <w:spacing w:before="100" w:beforeAutospacing="1" w:after="100" w:afterAutospacing="1" w:line="560" w:lineRule="exact"/>
        <w:jc w:val="center"/>
        <w:rPr>
          <w:rFonts w:ascii="宋体" w:eastAsia="宋体" w:hAnsi="宋体" w:cs="宋体"/>
          <w:kern w:val="0"/>
          <w:sz w:val="24"/>
          <w:szCs w:val="24"/>
        </w:rPr>
      </w:pPr>
      <w:r w:rsidRPr="00E10318">
        <w:rPr>
          <w:rFonts w:ascii="仿宋" w:eastAsia="仿宋" w:hAnsi="仿宋" w:cs="宋体" w:hint="eastAsia"/>
          <w:b/>
          <w:bCs/>
          <w:kern w:val="0"/>
          <w:sz w:val="32"/>
          <w:szCs w:val="32"/>
        </w:rPr>
        <w:t>第二章 保证金制度</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_GB2312" w:eastAsia="仿宋_GB2312" w:hAnsi="宋体" w:cs="宋体" w:hint="eastAsia"/>
          <w:kern w:val="0"/>
          <w:sz w:val="32"/>
          <w:szCs w:val="32"/>
        </w:rPr>
        <w:lastRenderedPageBreak/>
        <w:t>第四条</w:t>
      </w:r>
      <w:r w:rsidRPr="00E10318">
        <w:rPr>
          <w:rFonts w:ascii="宋体" w:eastAsia="宋体" w:hAnsi="宋体" w:cs="宋体"/>
          <w:kern w:val="0"/>
          <w:sz w:val="32"/>
          <w:szCs w:val="32"/>
        </w:rPr>
        <w:t xml:space="preserve"> </w:t>
      </w:r>
      <w:r w:rsidRPr="00E10318">
        <w:rPr>
          <w:rFonts w:ascii="仿宋_GB2312" w:eastAsia="仿宋_GB2312" w:hAnsi="宋体" w:cs="宋体" w:hint="eastAsia"/>
          <w:kern w:val="0"/>
          <w:sz w:val="32"/>
          <w:szCs w:val="32"/>
        </w:rPr>
        <w:t>交易所实行交易保证金制度。黄金、白银、石油沥青、热轧卷板期货合约的最低交易保证金为合约价值的4%，阴极铜（以下简称铜）、铝、锌、铅、镍、锡、螺纹钢、天然橡胶期货合约的最低交易保证金为合约价值的5%，线材期货合约的最低交易保证金为合约价值的7%，燃料油期货合约的最低交易保证金为合约价值的8%。</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在某一期货合约的交易过程中，当出现下列情况时，交易所可以根据市场风险调整其交易保证金水平:</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（一）持仓量达到一定的水平时;</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（二）临近交割期时;</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（三）连续数个交易日的累计涨跌幅达到一定水平时;</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（四）连续出现涨跌停板时;</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（五）遇国家法定长假时;</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（六）交易所认为市场风险明显增大时;</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（七）交易所认为必要的其他情况。</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交易所根据市场情况决定调整交易保证金的，应当公告，并报告中国证监会。</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第五条 交易所根据某一期货合约持仓的不同数量和上市运行的不同阶段（即：从该合约新上市挂牌之日起至最后交易日止）制定不同的交易保证金收取标准，本条另有特别规定的除外。</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lastRenderedPageBreak/>
        <w:t>热轧卷板不再根据合约持仓的不同数量制定不同的交易保证金收取标准。</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具体规定如下：</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（一）交易所根据合约持仓大小调整交易保证金比例的方法。</w:t>
      </w:r>
    </w:p>
    <w:p w:rsidR="00E10318" w:rsidRPr="00E10318" w:rsidRDefault="00E10318" w:rsidP="0036532F">
      <w:pPr>
        <w:widowControl/>
        <w:spacing w:before="100" w:beforeAutospacing="1" w:afterLines="50"/>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w:t>
      </w:r>
      <w:proofErr w:type="gramStart"/>
      <w:r w:rsidRPr="00E10318">
        <w:rPr>
          <w:rFonts w:ascii="仿宋" w:eastAsia="仿宋" w:hAnsi="仿宋" w:cs="宋体" w:hint="eastAsia"/>
          <w:b/>
          <w:bCs/>
          <w:spacing w:val="8"/>
          <w:kern w:val="0"/>
          <w:sz w:val="24"/>
          <w:szCs w:val="24"/>
        </w:rPr>
        <w:t>一</w:t>
      </w:r>
      <w:proofErr w:type="gramEnd"/>
      <w:r w:rsidRPr="00E10318">
        <w:rPr>
          <w:rFonts w:ascii="仿宋" w:eastAsia="仿宋" w:hAnsi="仿宋" w:cs="宋体" w:hint="eastAsia"/>
          <w:b/>
          <w:bCs/>
          <w:spacing w:val="8"/>
          <w:kern w:val="0"/>
          <w:sz w:val="24"/>
          <w:szCs w:val="24"/>
        </w:rPr>
        <w:t xml:space="preserve"> 铜期货合约持仓量变化时的交易保证金收取标准</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8"/>
        <w:gridCol w:w="2667"/>
      </w:tblGrid>
      <w:tr w:rsidR="00E10318" w:rsidRPr="00E10318" w:rsidTr="00E10318">
        <w:trPr>
          <w:cantSplit/>
          <w:trHeight w:hRule="exact" w:val="680"/>
          <w:jc w:val="center"/>
        </w:trPr>
        <w:tc>
          <w:tcPr>
            <w:tcW w:w="4282"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从进入交割月前第三月的第一个交易日起，当持仓总量（X）达到下列标准时</w:t>
            </w:r>
          </w:p>
        </w:tc>
        <w:tc>
          <w:tcPr>
            <w:tcW w:w="2669"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680"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铜交易保证金比例</w:t>
            </w:r>
          </w:p>
        </w:tc>
      </w:tr>
      <w:tr w:rsidR="00E10318" w:rsidRPr="00E10318" w:rsidTr="00E10318">
        <w:trPr>
          <w:trHeight w:hRule="exact" w:val="369"/>
          <w:jc w:val="center"/>
        </w:trPr>
        <w:tc>
          <w:tcPr>
            <w:tcW w:w="4282"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X≤24万</w:t>
            </w:r>
          </w:p>
        </w:tc>
        <w:tc>
          <w:tcPr>
            <w:tcW w:w="2669"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5%</w:t>
            </w:r>
          </w:p>
        </w:tc>
      </w:tr>
      <w:tr w:rsidR="00E10318" w:rsidRPr="00E10318" w:rsidTr="00E10318">
        <w:trPr>
          <w:trHeight w:hRule="exact" w:val="369"/>
          <w:jc w:val="center"/>
        </w:trPr>
        <w:tc>
          <w:tcPr>
            <w:tcW w:w="4282"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24万＜X≤28万</w:t>
            </w:r>
          </w:p>
        </w:tc>
        <w:tc>
          <w:tcPr>
            <w:tcW w:w="2669"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6.5%</w:t>
            </w:r>
          </w:p>
        </w:tc>
      </w:tr>
      <w:tr w:rsidR="00E10318" w:rsidRPr="00E10318" w:rsidTr="00E10318">
        <w:trPr>
          <w:trHeight w:hRule="exact" w:val="369"/>
          <w:jc w:val="center"/>
        </w:trPr>
        <w:tc>
          <w:tcPr>
            <w:tcW w:w="4282"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28万＜X≤32万</w:t>
            </w:r>
          </w:p>
        </w:tc>
        <w:tc>
          <w:tcPr>
            <w:tcW w:w="2669"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8%</w:t>
            </w:r>
          </w:p>
        </w:tc>
      </w:tr>
      <w:tr w:rsidR="00E10318" w:rsidRPr="00E10318" w:rsidTr="00E10318">
        <w:trPr>
          <w:trHeight w:hRule="exact" w:val="369"/>
          <w:jc w:val="center"/>
        </w:trPr>
        <w:tc>
          <w:tcPr>
            <w:tcW w:w="4282"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X＞32万</w:t>
            </w:r>
          </w:p>
        </w:tc>
        <w:tc>
          <w:tcPr>
            <w:tcW w:w="2669"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bl>
    <w:p w:rsidR="00E10318" w:rsidRPr="00E10318" w:rsidRDefault="00E10318" w:rsidP="00E10318">
      <w:pPr>
        <w:widowControl/>
        <w:spacing w:before="100" w:beforeAutospacing="1" w:after="100" w:afterAutospacing="1"/>
        <w:ind w:leftChars="514" w:left="1079"/>
        <w:jc w:val="left"/>
        <w:rPr>
          <w:rFonts w:ascii="宋体" w:eastAsia="宋体" w:hAnsi="宋体" w:cs="宋体"/>
          <w:kern w:val="0"/>
          <w:sz w:val="24"/>
          <w:szCs w:val="24"/>
        </w:rPr>
      </w:pPr>
      <w:r w:rsidRPr="00E10318">
        <w:rPr>
          <w:rFonts w:ascii="仿宋" w:eastAsia="仿宋" w:hAnsi="仿宋" w:cs="宋体" w:hint="eastAsia"/>
          <w:spacing w:val="8"/>
          <w:kern w:val="0"/>
          <w:sz w:val="24"/>
          <w:szCs w:val="24"/>
        </w:rPr>
        <w:t>注：X表示某一月份合约的双边持仓总量，单位：手。</w:t>
      </w:r>
    </w:p>
    <w:p w:rsidR="00E10318" w:rsidRPr="00E10318" w:rsidRDefault="00E10318" w:rsidP="00E10318">
      <w:pPr>
        <w:widowControl/>
        <w:spacing w:before="100" w:beforeAutospacing="1" w:after="100" w:afterAutospacing="1"/>
        <w:ind w:leftChars="514" w:left="1079"/>
        <w:jc w:val="left"/>
        <w:rPr>
          <w:rFonts w:ascii="宋体" w:eastAsia="宋体" w:hAnsi="宋体" w:cs="宋体"/>
          <w:kern w:val="0"/>
          <w:sz w:val="24"/>
          <w:szCs w:val="24"/>
        </w:rPr>
      </w:pPr>
      <w:r w:rsidRPr="00E10318">
        <w:rPr>
          <w:rFonts w:ascii="宋体" w:eastAsia="宋体" w:hAnsi="宋体" w:cs="宋体" w:hint="eastAsia"/>
          <w:spacing w:val="8"/>
          <w:kern w:val="0"/>
          <w:sz w:val="24"/>
          <w:szCs w:val="24"/>
        </w:rPr>
        <w:t> </w:t>
      </w:r>
    </w:p>
    <w:p w:rsidR="00E10318" w:rsidRPr="00E10318" w:rsidRDefault="00E10318" w:rsidP="0036532F">
      <w:pPr>
        <w:widowControl/>
        <w:spacing w:before="100" w:beforeAutospacing="1" w:afterLines="50"/>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表二 铝期货合约持仓量变化时的交易保证金收取标准</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8"/>
        <w:gridCol w:w="2667"/>
      </w:tblGrid>
      <w:tr w:rsidR="00E10318" w:rsidRPr="00E10318" w:rsidTr="00E10318">
        <w:trPr>
          <w:cantSplit/>
          <w:trHeight w:hRule="exact" w:val="680"/>
          <w:jc w:val="center"/>
        </w:trPr>
        <w:tc>
          <w:tcPr>
            <w:tcW w:w="4282"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从进入交割月前第三月的第一个交易日起，</w:t>
            </w:r>
          </w:p>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当持仓总量（X）达到下列标准时</w:t>
            </w:r>
          </w:p>
        </w:tc>
        <w:tc>
          <w:tcPr>
            <w:tcW w:w="2669"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680" w:lineRule="auto"/>
              <w:jc w:val="center"/>
              <w:rPr>
                <w:rFonts w:ascii="宋体" w:eastAsia="宋体" w:hAnsi="宋体" w:cs="宋体"/>
                <w:kern w:val="0"/>
                <w:sz w:val="24"/>
                <w:szCs w:val="24"/>
              </w:rPr>
            </w:pPr>
            <w:proofErr w:type="gramStart"/>
            <w:r w:rsidRPr="00E10318">
              <w:rPr>
                <w:rFonts w:ascii="仿宋" w:eastAsia="仿宋" w:hAnsi="仿宋" w:cs="宋体" w:hint="eastAsia"/>
                <w:kern w:val="0"/>
                <w:sz w:val="24"/>
                <w:szCs w:val="24"/>
              </w:rPr>
              <w:t>铝交易</w:t>
            </w:r>
            <w:proofErr w:type="gramEnd"/>
            <w:r w:rsidRPr="00E10318">
              <w:rPr>
                <w:rFonts w:ascii="仿宋" w:eastAsia="仿宋" w:hAnsi="仿宋" w:cs="宋体" w:hint="eastAsia"/>
                <w:kern w:val="0"/>
                <w:sz w:val="24"/>
                <w:szCs w:val="24"/>
              </w:rPr>
              <w:t>保证金比例</w:t>
            </w:r>
          </w:p>
        </w:tc>
      </w:tr>
      <w:tr w:rsidR="00E10318" w:rsidRPr="00E10318" w:rsidTr="00E10318">
        <w:trPr>
          <w:trHeight w:hRule="exact" w:val="369"/>
          <w:jc w:val="center"/>
        </w:trPr>
        <w:tc>
          <w:tcPr>
            <w:tcW w:w="4282"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X≤24万</w:t>
            </w:r>
          </w:p>
        </w:tc>
        <w:tc>
          <w:tcPr>
            <w:tcW w:w="2669"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5%</w:t>
            </w:r>
          </w:p>
        </w:tc>
      </w:tr>
      <w:tr w:rsidR="00E10318" w:rsidRPr="00E10318" w:rsidTr="00E10318">
        <w:trPr>
          <w:trHeight w:hRule="exact" w:val="369"/>
          <w:jc w:val="center"/>
        </w:trPr>
        <w:tc>
          <w:tcPr>
            <w:tcW w:w="4282"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24万＜X≤28万</w:t>
            </w:r>
          </w:p>
        </w:tc>
        <w:tc>
          <w:tcPr>
            <w:tcW w:w="2669"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6.5%</w:t>
            </w:r>
          </w:p>
        </w:tc>
      </w:tr>
      <w:tr w:rsidR="00E10318" w:rsidRPr="00E10318" w:rsidTr="00E10318">
        <w:trPr>
          <w:trHeight w:hRule="exact" w:val="369"/>
          <w:jc w:val="center"/>
        </w:trPr>
        <w:tc>
          <w:tcPr>
            <w:tcW w:w="4282"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28万＜X≤32万</w:t>
            </w:r>
          </w:p>
        </w:tc>
        <w:tc>
          <w:tcPr>
            <w:tcW w:w="2669"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8%</w:t>
            </w:r>
          </w:p>
        </w:tc>
      </w:tr>
      <w:tr w:rsidR="00E10318" w:rsidRPr="00E10318" w:rsidTr="00E10318">
        <w:trPr>
          <w:trHeight w:hRule="exact" w:val="369"/>
          <w:jc w:val="center"/>
        </w:trPr>
        <w:tc>
          <w:tcPr>
            <w:tcW w:w="4282"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X＞32万</w:t>
            </w:r>
          </w:p>
        </w:tc>
        <w:tc>
          <w:tcPr>
            <w:tcW w:w="2669"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bl>
    <w:p w:rsidR="00E10318" w:rsidRPr="00E10318" w:rsidRDefault="00E10318" w:rsidP="00E10318">
      <w:pPr>
        <w:widowControl/>
        <w:spacing w:before="100" w:beforeAutospacing="1" w:after="100" w:afterAutospacing="1"/>
        <w:ind w:leftChars="514" w:left="1079"/>
        <w:jc w:val="left"/>
        <w:rPr>
          <w:rFonts w:ascii="宋体" w:eastAsia="宋体" w:hAnsi="宋体" w:cs="宋体"/>
          <w:kern w:val="0"/>
          <w:sz w:val="24"/>
          <w:szCs w:val="24"/>
        </w:rPr>
      </w:pPr>
      <w:r w:rsidRPr="00E10318">
        <w:rPr>
          <w:rFonts w:ascii="宋体" w:eastAsia="宋体" w:hAnsi="宋体" w:cs="宋体" w:hint="eastAsia"/>
          <w:spacing w:val="8"/>
          <w:kern w:val="0"/>
          <w:sz w:val="24"/>
          <w:szCs w:val="24"/>
        </w:rPr>
        <w:t> </w:t>
      </w:r>
      <w:r w:rsidRPr="00E10318">
        <w:rPr>
          <w:rFonts w:ascii="仿宋" w:eastAsia="仿宋" w:hAnsi="仿宋" w:cs="宋体" w:hint="eastAsia"/>
          <w:spacing w:val="8"/>
          <w:kern w:val="0"/>
          <w:sz w:val="24"/>
          <w:szCs w:val="24"/>
        </w:rPr>
        <w:t>注：X表示某一月份合约的双边持仓总量，单位：手。</w:t>
      </w:r>
    </w:p>
    <w:p w:rsidR="00E10318" w:rsidRPr="00E10318" w:rsidRDefault="00E10318" w:rsidP="00E10318">
      <w:pPr>
        <w:widowControl/>
        <w:spacing w:before="100" w:beforeAutospacing="1" w:after="100" w:afterAutospacing="1"/>
        <w:jc w:val="left"/>
        <w:rPr>
          <w:rFonts w:ascii="宋体" w:eastAsia="宋体" w:hAnsi="宋体" w:cs="宋体"/>
          <w:kern w:val="0"/>
          <w:sz w:val="24"/>
          <w:szCs w:val="24"/>
        </w:rPr>
      </w:pPr>
      <w:r w:rsidRPr="00E10318">
        <w:rPr>
          <w:rFonts w:ascii="宋体" w:eastAsia="宋体" w:hAnsi="宋体" w:cs="宋体" w:hint="eastAsia"/>
          <w:spacing w:val="8"/>
          <w:kern w:val="0"/>
          <w:sz w:val="24"/>
          <w:szCs w:val="24"/>
        </w:rPr>
        <w:t> </w:t>
      </w:r>
    </w:p>
    <w:p w:rsidR="00E10318" w:rsidRPr="00E10318" w:rsidRDefault="00E10318" w:rsidP="0036532F">
      <w:pPr>
        <w:widowControl/>
        <w:spacing w:before="100" w:beforeAutospacing="1" w:afterLines="50"/>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表三 锌期货合约持仓量变化时的交易保证金收取标准</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8"/>
        <w:gridCol w:w="2667"/>
      </w:tblGrid>
      <w:tr w:rsidR="00E10318" w:rsidRPr="00E10318" w:rsidTr="00E10318">
        <w:trPr>
          <w:cantSplit/>
          <w:trHeight w:hRule="exact" w:val="680"/>
          <w:jc w:val="center"/>
        </w:trPr>
        <w:tc>
          <w:tcPr>
            <w:tcW w:w="4282"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从进入交割月前第三月的第一个交易日起，</w:t>
            </w:r>
          </w:p>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当持仓总量（X）达到下列标准时</w:t>
            </w:r>
          </w:p>
        </w:tc>
        <w:tc>
          <w:tcPr>
            <w:tcW w:w="2669"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680" w:lineRule="auto"/>
              <w:jc w:val="center"/>
              <w:rPr>
                <w:rFonts w:ascii="宋体" w:eastAsia="宋体" w:hAnsi="宋体" w:cs="宋体"/>
                <w:kern w:val="0"/>
                <w:sz w:val="24"/>
                <w:szCs w:val="24"/>
              </w:rPr>
            </w:pPr>
            <w:proofErr w:type="gramStart"/>
            <w:r w:rsidRPr="00E10318">
              <w:rPr>
                <w:rFonts w:ascii="仿宋" w:eastAsia="仿宋" w:hAnsi="仿宋" w:cs="宋体" w:hint="eastAsia"/>
                <w:kern w:val="0"/>
                <w:sz w:val="24"/>
                <w:szCs w:val="24"/>
              </w:rPr>
              <w:t>锌</w:t>
            </w:r>
            <w:proofErr w:type="gramEnd"/>
            <w:r w:rsidRPr="00E10318">
              <w:rPr>
                <w:rFonts w:ascii="仿宋" w:eastAsia="仿宋" w:hAnsi="仿宋" w:cs="宋体" w:hint="eastAsia"/>
                <w:kern w:val="0"/>
                <w:sz w:val="24"/>
                <w:szCs w:val="24"/>
              </w:rPr>
              <w:t>交易保证金比例</w:t>
            </w:r>
          </w:p>
        </w:tc>
      </w:tr>
      <w:tr w:rsidR="00E10318" w:rsidRPr="00E10318" w:rsidTr="00E10318">
        <w:trPr>
          <w:trHeight w:hRule="exact" w:val="369"/>
          <w:jc w:val="center"/>
        </w:trPr>
        <w:tc>
          <w:tcPr>
            <w:tcW w:w="4282"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X≤24万</w:t>
            </w:r>
          </w:p>
        </w:tc>
        <w:tc>
          <w:tcPr>
            <w:tcW w:w="2669"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5%</w:t>
            </w:r>
          </w:p>
        </w:tc>
      </w:tr>
      <w:tr w:rsidR="00E10318" w:rsidRPr="00E10318" w:rsidTr="00E10318">
        <w:trPr>
          <w:trHeight w:hRule="exact" w:val="369"/>
          <w:jc w:val="center"/>
        </w:trPr>
        <w:tc>
          <w:tcPr>
            <w:tcW w:w="4282"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24万＜X≤28万</w:t>
            </w:r>
          </w:p>
        </w:tc>
        <w:tc>
          <w:tcPr>
            <w:tcW w:w="2669"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6.5%</w:t>
            </w:r>
          </w:p>
        </w:tc>
      </w:tr>
      <w:tr w:rsidR="00E10318" w:rsidRPr="00E10318" w:rsidTr="00E10318">
        <w:trPr>
          <w:trHeight w:hRule="exact" w:val="369"/>
          <w:jc w:val="center"/>
        </w:trPr>
        <w:tc>
          <w:tcPr>
            <w:tcW w:w="4282"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28万＜X≤32万</w:t>
            </w:r>
          </w:p>
        </w:tc>
        <w:tc>
          <w:tcPr>
            <w:tcW w:w="2669"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8%</w:t>
            </w:r>
          </w:p>
        </w:tc>
      </w:tr>
      <w:tr w:rsidR="00E10318" w:rsidRPr="00E10318" w:rsidTr="00E10318">
        <w:trPr>
          <w:trHeight w:hRule="exact" w:val="369"/>
          <w:jc w:val="center"/>
        </w:trPr>
        <w:tc>
          <w:tcPr>
            <w:tcW w:w="4282"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lastRenderedPageBreak/>
              <w:t>X＞32万</w:t>
            </w:r>
          </w:p>
        </w:tc>
        <w:tc>
          <w:tcPr>
            <w:tcW w:w="2669"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bl>
    <w:p w:rsidR="00E10318" w:rsidRPr="00E10318" w:rsidRDefault="00E10318" w:rsidP="00E10318">
      <w:pPr>
        <w:widowControl/>
        <w:spacing w:before="100" w:beforeAutospacing="1" w:after="100" w:afterAutospacing="1"/>
        <w:ind w:leftChars="514" w:left="1079"/>
        <w:jc w:val="left"/>
        <w:rPr>
          <w:rFonts w:ascii="宋体" w:eastAsia="宋体" w:hAnsi="宋体" w:cs="宋体"/>
          <w:kern w:val="0"/>
          <w:sz w:val="24"/>
          <w:szCs w:val="24"/>
        </w:rPr>
      </w:pPr>
      <w:r w:rsidRPr="00E10318">
        <w:rPr>
          <w:rFonts w:ascii="仿宋" w:eastAsia="仿宋" w:hAnsi="仿宋" w:cs="宋体" w:hint="eastAsia"/>
          <w:spacing w:val="8"/>
          <w:kern w:val="0"/>
          <w:sz w:val="24"/>
          <w:szCs w:val="24"/>
        </w:rPr>
        <w:t>注：X表示某一月份合约的双边持仓总量，单位：手。</w:t>
      </w:r>
    </w:p>
    <w:p w:rsidR="00E10318" w:rsidRPr="00E10318" w:rsidRDefault="00E10318" w:rsidP="00E10318">
      <w:pPr>
        <w:widowControl/>
        <w:spacing w:before="100" w:beforeAutospacing="1" w:after="100" w:afterAutospacing="1"/>
        <w:ind w:leftChars="514" w:left="1079"/>
        <w:jc w:val="left"/>
        <w:rPr>
          <w:rFonts w:ascii="宋体" w:eastAsia="宋体" w:hAnsi="宋体" w:cs="宋体"/>
          <w:kern w:val="0"/>
          <w:sz w:val="24"/>
          <w:szCs w:val="24"/>
        </w:rPr>
      </w:pPr>
      <w:r w:rsidRPr="00E10318">
        <w:rPr>
          <w:rFonts w:ascii="宋体" w:eastAsia="宋体" w:hAnsi="宋体" w:cs="宋体" w:hint="eastAsia"/>
          <w:spacing w:val="8"/>
          <w:kern w:val="0"/>
          <w:sz w:val="24"/>
          <w:szCs w:val="24"/>
        </w:rPr>
        <w:t> </w:t>
      </w:r>
    </w:p>
    <w:p w:rsidR="00E10318" w:rsidRPr="00E10318" w:rsidRDefault="00E10318" w:rsidP="0036532F">
      <w:pPr>
        <w:widowControl/>
        <w:spacing w:before="100" w:beforeAutospacing="1" w:afterLines="50"/>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表四 铅期货合约持仓量变化时的交易保证金收取标准</w:t>
      </w:r>
    </w:p>
    <w:tbl>
      <w:tblPr>
        <w:tblW w:w="6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2"/>
        <w:gridCol w:w="2783"/>
      </w:tblGrid>
      <w:tr w:rsidR="00E10318" w:rsidRPr="00E10318" w:rsidTr="00E10318">
        <w:trPr>
          <w:cantSplit/>
          <w:trHeight w:hRule="exact" w:val="717"/>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color w:val="333333"/>
                <w:kern w:val="0"/>
                <w:sz w:val="24"/>
                <w:szCs w:val="24"/>
              </w:rPr>
              <w:t>从进入交割月前第三月的第一个交易日起，当持仓总量（X）达到下列标准时</w:t>
            </w:r>
          </w:p>
        </w:tc>
        <w:tc>
          <w:tcPr>
            <w:tcW w:w="2785"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717" w:lineRule="auto"/>
              <w:jc w:val="center"/>
              <w:rPr>
                <w:rFonts w:ascii="宋体" w:eastAsia="宋体" w:hAnsi="宋体" w:cs="宋体"/>
                <w:kern w:val="0"/>
                <w:sz w:val="24"/>
                <w:szCs w:val="24"/>
              </w:rPr>
            </w:pPr>
            <w:proofErr w:type="gramStart"/>
            <w:r w:rsidRPr="00E10318">
              <w:rPr>
                <w:rFonts w:ascii="仿宋" w:eastAsia="仿宋" w:hAnsi="仿宋" w:cs="宋体" w:hint="eastAsia"/>
                <w:kern w:val="0"/>
                <w:sz w:val="24"/>
                <w:szCs w:val="24"/>
              </w:rPr>
              <w:t>铅交易</w:t>
            </w:r>
            <w:proofErr w:type="gramEnd"/>
            <w:r w:rsidRPr="00E10318">
              <w:rPr>
                <w:rFonts w:ascii="仿宋" w:eastAsia="仿宋" w:hAnsi="仿宋" w:cs="宋体" w:hint="eastAsia"/>
                <w:kern w:val="0"/>
                <w:sz w:val="24"/>
                <w:szCs w:val="24"/>
              </w:rPr>
              <w:t>保证金比例</w:t>
            </w:r>
          </w:p>
        </w:tc>
      </w:tr>
      <w:bookmarkEnd w:id="0"/>
      <w:bookmarkEnd w:id="1"/>
      <w:tr w:rsidR="00E10318" w:rsidRPr="00E10318" w:rsidTr="00E10318">
        <w:trPr>
          <w:trHeight w:hRule="exact" w:val="369"/>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X≤20万</w:t>
            </w:r>
          </w:p>
        </w:tc>
        <w:tc>
          <w:tcPr>
            <w:tcW w:w="2785"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5%</w:t>
            </w:r>
          </w:p>
        </w:tc>
      </w:tr>
      <w:tr w:rsidR="00E10318" w:rsidRPr="00E10318" w:rsidTr="00E10318">
        <w:trPr>
          <w:trHeight w:hRule="exact" w:val="369"/>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20万＜X≤30万</w:t>
            </w:r>
          </w:p>
        </w:tc>
        <w:tc>
          <w:tcPr>
            <w:tcW w:w="2785"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r w:rsidR="00E10318" w:rsidRPr="00E10318" w:rsidTr="00E10318">
        <w:trPr>
          <w:trHeight w:hRule="exact" w:val="369"/>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X＞30万</w:t>
            </w:r>
          </w:p>
        </w:tc>
        <w:tc>
          <w:tcPr>
            <w:tcW w:w="2785"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12%</w:t>
            </w:r>
          </w:p>
        </w:tc>
      </w:tr>
    </w:tbl>
    <w:p w:rsidR="00E10318" w:rsidRPr="00E10318" w:rsidRDefault="00E10318" w:rsidP="00E10318">
      <w:pPr>
        <w:widowControl/>
        <w:spacing w:before="100" w:beforeAutospacing="1" w:after="100" w:afterAutospacing="1"/>
        <w:ind w:leftChars="514" w:left="1079"/>
        <w:jc w:val="left"/>
        <w:rPr>
          <w:rFonts w:ascii="宋体" w:eastAsia="宋体" w:hAnsi="宋体" w:cs="宋体"/>
          <w:kern w:val="0"/>
          <w:sz w:val="24"/>
          <w:szCs w:val="24"/>
        </w:rPr>
      </w:pPr>
      <w:r w:rsidRPr="00E10318">
        <w:rPr>
          <w:rFonts w:ascii="仿宋" w:eastAsia="仿宋" w:hAnsi="仿宋" w:cs="宋体" w:hint="eastAsia"/>
          <w:spacing w:val="8"/>
          <w:kern w:val="0"/>
          <w:sz w:val="24"/>
          <w:szCs w:val="24"/>
        </w:rPr>
        <w:t>注：X表示某一月份合约的双边持仓总量，单位：手。</w:t>
      </w:r>
    </w:p>
    <w:p w:rsidR="00E10318" w:rsidRPr="00E10318" w:rsidRDefault="00E10318" w:rsidP="00E10318">
      <w:pPr>
        <w:widowControl/>
        <w:spacing w:before="100" w:beforeAutospacing="1" w:after="100" w:afterAutospacing="1"/>
        <w:ind w:leftChars="514" w:left="1079"/>
        <w:jc w:val="left"/>
        <w:rPr>
          <w:rFonts w:ascii="宋体" w:eastAsia="宋体" w:hAnsi="宋体" w:cs="宋体"/>
          <w:kern w:val="0"/>
          <w:sz w:val="24"/>
          <w:szCs w:val="24"/>
        </w:rPr>
      </w:pPr>
      <w:r w:rsidRPr="00E10318">
        <w:rPr>
          <w:rFonts w:ascii="宋体" w:eastAsia="宋体" w:hAnsi="宋体" w:cs="宋体" w:hint="eastAsia"/>
          <w:spacing w:val="8"/>
          <w:kern w:val="0"/>
          <w:sz w:val="24"/>
          <w:szCs w:val="24"/>
        </w:rPr>
        <w:t> </w:t>
      </w:r>
    </w:p>
    <w:p w:rsidR="00E10318" w:rsidRPr="00E10318" w:rsidRDefault="00E10318" w:rsidP="0036532F">
      <w:pPr>
        <w:widowControl/>
        <w:spacing w:before="100" w:beforeAutospacing="1" w:afterLines="50"/>
        <w:jc w:val="center"/>
        <w:rPr>
          <w:rFonts w:ascii="宋体" w:eastAsia="宋体" w:hAnsi="宋体" w:cs="宋体"/>
          <w:kern w:val="0"/>
          <w:sz w:val="24"/>
          <w:szCs w:val="24"/>
        </w:rPr>
      </w:pPr>
      <w:r w:rsidRPr="00E10318">
        <w:rPr>
          <w:rFonts w:ascii="仿宋" w:eastAsia="仿宋" w:hAnsi="仿宋" w:cs="宋体" w:hint="eastAsia"/>
          <w:b/>
          <w:bCs/>
          <w:kern w:val="0"/>
          <w:sz w:val="24"/>
          <w:szCs w:val="24"/>
        </w:rPr>
        <w:t>表五 镍期货合约持仓量变化时的交易保证金收取标准</w:t>
      </w:r>
    </w:p>
    <w:tbl>
      <w:tblPr>
        <w:tblW w:w="688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02"/>
        <w:gridCol w:w="2783"/>
      </w:tblGrid>
      <w:tr w:rsidR="00E10318" w:rsidRPr="00E10318" w:rsidTr="00E10318">
        <w:trPr>
          <w:cantSplit/>
          <w:trHeight w:hRule="exact" w:val="717"/>
          <w:jc w:val="center"/>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从进入交割月前第三月的第一个交易日起，当持仓总量（X）达到下列标准时</w:t>
            </w:r>
          </w:p>
        </w:tc>
        <w:tc>
          <w:tcPr>
            <w:tcW w:w="2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717" w:lineRule="auto"/>
              <w:jc w:val="center"/>
              <w:rPr>
                <w:rFonts w:ascii="宋体" w:eastAsia="宋体" w:hAnsi="宋体" w:cs="宋体"/>
                <w:kern w:val="0"/>
                <w:sz w:val="24"/>
                <w:szCs w:val="24"/>
              </w:rPr>
            </w:pPr>
            <w:proofErr w:type="gramStart"/>
            <w:r w:rsidRPr="00E10318">
              <w:rPr>
                <w:rFonts w:ascii="仿宋" w:eastAsia="仿宋" w:hAnsi="仿宋" w:cs="宋体" w:hint="eastAsia"/>
                <w:kern w:val="0"/>
                <w:sz w:val="24"/>
                <w:szCs w:val="24"/>
              </w:rPr>
              <w:t>镍交易</w:t>
            </w:r>
            <w:proofErr w:type="gramEnd"/>
            <w:r w:rsidRPr="00E10318">
              <w:rPr>
                <w:rFonts w:ascii="仿宋" w:eastAsia="仿宋" w:hAnsi="仿宋" w:cs="宋体" w:hint="eastAsia"/>
                <w:kern w:val="0"/>
                <w:sz w:val="24"/>
                <w:szCs w:val="24"/>
              </w:rPr>
              <w:t>保证金比例</w:t>
            </w:r>
          </w:p>
        </w:tc>
      </w:tr>
      <w:tr w:rsidR="00E10318" w:rsidRPr="00E10318" w:rsidTr="00E10318">
        <w:trPr>
          <w:trHeight w:hRule="exact" w:val="369"/>
          <w:jc w:val="center"/>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X≤24万</w:t>
            </w:r>
          </w:p>
        </w:tc>
        <w:tc>
          <w:tcPr>
            <w:tcW w:w="2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5%</w:t>
            </w:r>
          </w:p>
        </w:tc>
      </w:tr>
      <w:tr w:rsidR="00E10318" w:rsidRPr="00E10318" w:rsidTr="00E10318">
        <w:trPr>
          <w:trHeight w:hRule="exact" w:val="369"/>
          <w:jc w:val="center"/>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24万＜X≤36万</w:t>
            </w:r>
          </w:p>
        </w:tc>
        <w:tc>
          <w:tcPr>
            <w:tcW w:w="2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8%</w:t>
            </w:r>
          </w:p>
        </w:tc>
      </w:tr>
      <w:tr w:rsidR="00E10318" w:rsidRPr="00E10318" w:rsidTr="00E10318">
        <w:trPr>
          <w:trHeight w:hRule="exact" w:val="369"/>
          <w:jc w:val="center"/>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X＞36万</w:t>
            </w:r>
          </w:p>
        </w:tc>
        <w:tc>
          <w:tcPr>
            <w:tcW w:w="2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bl>
    <w:p w:rsidR="00E10318" w:rsidRPr="00E10318" w:rsidRDefault="00E10318" w:rsidP="00E10318">
      <w:pPr>
        <w:widowControl/>
        <w:spacing w:before="100" w:beforeAutospacing="1" w:after="100" w:afterAutospacing="1"/>
        <w:ind w:leftChars="514" w:left="1079"/>
        <w:jc w:val="left"/>
        <w:rPr>
          <w:rFonts w:ascii="宋体" w:eastAsia="宋体" w:hAnsi="宋体" w:cs="宋体"/>
          <w:kern w:val="0"/>
          <w:sz w:val="24"/>
          <w:szCs w:val="24"/>
        </w:rPr>
      </w:pPr>
      <w:r w:rsidRPr="00E10318">
        <w:rPr>
          <w:rFonts w:ascii="仿宋" w:eastAsia="仿宋" w:hAnsi="仿宋" w:cs="宋体" w:hint="eastAsia"/>
          <w:spacing w:val="8"/>
          <w:kern w:val="0"/>
          <w:sz w:val="24"/>
          <w:szCs w:val="24"/>
        </w:rPr>
        <w:t>注：X表示某一月份合约的双边持仓总量，单位：手。</w:t>
      </w:r>
    </w:p>
    <w:p w:rsidR="00E10318" w:rsidRPr="00E10318" w:rsidRDefault="00E10318" w:rsidP="00E10318">
      <w:pPr>
        <w:widowControl/>
        <w:spacing w:before="100" w:beforeAutospacing="1" w:after="100" w:afterAutospacing="1"/>
        <w:ind w:leftChars="514" w:left="1079"/>
        <w:jc w:val="left"/>
        <w:rPr>
          <w:rFonts w:ascii="宋体" w:eastAsia="宋体" w:hAnsi="宋体" w:cs="宋体"/>
          <w:kern w:val="0"/>
          <w:sz w:val="24"/>
          <w:szCs w:val="24"/>
        </w:rPr>
      </w:pPr>
      <w:r w:rsidRPr="00E10318">
        <w:rPr>
          <w:rFonts w:ascii="宋体" w:eastAsia="宋体" w:hAnsi="宋体" w:cs="宋体" w:hint="eastAsia"/>
          <w:spacing w:val="8"/>
          <w:kern w:val="0"/>
          <w:sz w:val="24"/>
          <w:szCs w:val="24"/>
        </w:rPr>
        <w:t> </w:t>
      </w:r>
    </w:p>
    <w:p w:rsidR="00E10318" w:rsidRPr="00E10318" w:rsidRDefault="00E10318" w:rsidP="0036532F">
      <w:pPr>
        <w:widowControl/>
        <w:spacing w:before="100" w:beforeAutospacing="1" w:afterLines="50"/>
        <w:jc w:val="center"/>
        <w:rPr>
          <w:rFonts w:ascii="宋体" w:eastAsia="宋体" w:hAnsi="宋体" w:cs="宋体"/>
          <w:kern w:val="0"/>
          <w:sz w:val="24"/>
          <w:szCs w:val="24"/>
        </w:rPr>
      </w:pPr>
      <w:r w:rsidRPr="00E10318">
        <w:rPr>
          <w:rFonts w:ascii="仿宋" w:eastAsia="仿宋" w:hAnsi="仿宋" w:cs="宋体" w:hint="eastAsia"/>
          <w:b/>
          <w:bCs/>
          <w:kern w:val="0"/>
          <w:sz w:val="24"/>
          <w:szCs w:val="24"/>
        </w:rPr>
        <w:t>表六 锡期货合约持仓量变化时的交易保证金收取标准</w:t>
      </w:r>
    </w:p>
    <w:tbl>
      <w:tblPr>
        <w:tblW w:w="688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02"/>
        <w:gridCol w:w="2783"/>
      </w:tblGrid>
      <w:tr w:rsidR="00E10318" w:rsidRPr="00E10318" w:rsidTr="00E10318">
        <w:trPr>
          <w:cantSplit/>
          <w:trHeight w:hRule="exact" w:val="717"/>
          <w:jc w:val="center"/>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从进入交割月前第三月的第一个交易日起，当持仓总量（X）达到下列标准时</w:t>
            </w:r>
          </w:p>
        </w:tc>
        <w:tc>
          <w:tcPr>
            <w:tcW w:w="2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717" w:lineRule="auto"/>
              <w:jc w:val="center"/>
              <w:rPr>
                <w:rFonts w:ascii="宋体" w:eastAsia="宋体" w:hAnsi="宋体" w:cs="宋体"/>
                <w:kern w:val="0"/>
                <w:sz w:val="24"/>
                <w:szCs w:val="24"/>
              </w:rPr>
            </w:pPr>
            <w:proofErr w:type="gramStart"/>
            <w:r w:rsidRPr="00E10318">
              <w:rPr>
                <w:rFonts w:ascii="仿宋" w:eastAsia="仿宋" w:hAnsi="仿宋" w:cs="宋体" w:hint="eastAsia"/>
                <w:kern w:val="0"/>
                <w:sz w:val="24"/>
                <w:szCs w:val="24"/>
              </w:rPr>
              <w:t>锡交易</w:t>
            </w:r>
            <w:proofErr w:type="gramEnd"/>
            <w:r w:rsidRPr="00E10318">
              <w:rPr>
                <w:rFonts w:ascii="仿宋" w:eastAsia="仿宋" w:hAnsi="仿宋" w:cs="宋体" w:hint="eastAsia"/>
                <w:kern w:val="0"/>
                <w:sz w:val="24"/>
                <w:szCs w:val="24"/>
              </w:rPr>
              <w:t>保证金比例</w:t>
            </w:r>
          </w:p>
        </w:tc>
      </w:tr>
      <w:tr w:rsidR="00E10318" w:rsidRPr="00E10318" w:rsidTr="00E10318">
        <w:trPr>
          <w:trHeight w:hRule="exact" w:val="369"/>
          <w:jc w:val="center"/>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X≤6万</w:t>
            </w:r>
          </w:p>
        </w:tc>
        <w:tc>
          <w:tcPr>
            <w:tcW w:w="2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5%</w:t>
            </w:r>
          </w:p>
        </w:tc>
      </w:tr>
      <w:tr w:rsidR="00E10318" w:rsidRPr="00E10318" w:rsidTr="00E10318">
        <w:trPr>
          <w:trHeight w:hRule="exact" w:val="369"/>
          <w:jc w:val="center"/>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6万＜X≤9万</w:t>
            </w:r>
          </w:p>
        </w:tc>
        <w:tc>
          <w:tcPr>
            <w:tcW w:w="2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8%</w:t>
            </w:r>
          </w:p>
        </w:tc>
      </w:tr>
      <w:tr w:rsidR="00E10318" w:rsidRPr="00E10318" w:rsidTr="00E10318">
        <w:trPr>
          <w:trHeight w:hRule="exact" w:val="369"/>
          <w:jc w:val="center"/>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X＞9万</w:t>
            </w:r>
          </w:p>
        </w:tc>
        <w:tc>
          <w:tcPr>
            <w:tcW w:w="2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bl>
    <w:p w:rsidR="00E10318" w:rsidRPr="00E10318" w:rsidRDefault="00E10318" w:rsidP="00E10318">
      <w:pPr>
        <w:widowControl/>
        <w:spacing w:before="100" w:beforeAutospacing="1" w:after="100" w:afterAutospacing="1"/>
        <w:ind w:leftChars="514" w:left="1079"/>
        <w:jc w:val="left"/>
        <w:rPr>
          <w:rFonts w:ascii="宋体" w:eastAsia="宋体" w:hAnsi="宋体" w:cs="宋体"/>
          <w:kern w:val="0"/>
          <w:sz w:val="24"/>
          <w:szCs w:val="24"/>
        </w:rPr>
      </w:pPr>
      <w:r w:rsidRPr="00E10318">
        <w:rPr>
          <w:rFonts w:ascii="仿宋" w:eastAsia="仿宋" w:hAnsi="仿宋" w:cs="宋体" w:hint="eastAsia"/>
          <w:spacing w:val="8"/>
          <w:kern w:val="0"/>
          <w:sz w:val="24"/>
          <w:szCs w:val="24"/>
        </w:rPr>
        <w:t>注：X表示某一月份合约的双边持仓总量，单位：手。</w:t>
      </w:r>
    </w:p>
    <w:p w:rsidR="00E10318" w:rsidRPr="00E10318" w:rsidRDefault="00E10318" w:rsidP="00E10318">
      <w:pPr>
        <w:widowControl/>
        <w:spacing w:before="100" w:beforeAutospacing="1" w:after="100" w:afterAutospacing="1"/>
        <w:ind w:leftChars="514" w:left="1079"/>
        <w:jc w:val="left"/>
        <w:rPr>
          <w:rFonts w:ascii="宋体" w:eastAsia="宋体" w:hAnsi="宋体" w:cs="宋体"/>
          <w:kern w:val="0"/>
          <w:sz w:val="24"/>
          <w:szCs w:val="24"/>
        </w:rPr>
      </w:pPr>
      <w:r w:rsidRPr="00E10318">
        <w:rPr>
          <w:rFonts w:ascii="宋体" w:eastAsia="宋体" w:hAnsi="宋体" w:cs="宋体" w:hint="eastAsia"/>
          <w:spacing w:val="8"/>
          <w:kern w:val="0"/>
          <w:sz w:val="24"/>
          <w:szCs w:val="24"/>
        </w:rPr>
        <w:t> </w:t>
      </w:r>
    </w:p>
    <w:p w:rsidR="00E10318" w:rsidRPr="00E10318" w:rsidRDefault="00E10318" w:rsidP="00E10318">
      <w:pPr>
        <w:widowControl/>
        <w:spacing w:before="100" w:beforeAutospacing="1" w:after="100" w:afterAutospacing="1" w:line="360" w:lineRule="auto"/>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表七 螺纹钢期货合约持仓量变化时的交易保证金收取标准</w:t>
      </w:r>
    </w:p>
    <w:tbl>
      <w:tblPr>
        <w:tblW w:w="6870"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4"/>
        <w:gridCol w:w="2666"/>
      </w:tblGrid>
      <w:tr w:rsidR="00E10318" w:rsidRPr="00E10318" w:rsidTr="00E10318">
        <w:trPr>
          <w:cantSplit/>
          <w:trHeight w:hRule="exact" w:val="680"/>
          <w:jc w:val="center"/>
        </w:trPr>
        <w:tc>
          <w:tcPr>
            <w:tcW w:w="4208" w:type="dxa"/>
            <w:tcBorders>
              <w:top w:val="single" w:sz="8" w:space="0" w:color="auto"/>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680"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lastRenderedPageBreak/>
              <w:t>从进入交割月前第三月的第一个交易日起，当持仓总量（X）达到下列标准时</w:t>
            </w:r>
          </w:p>
        </w:tc>
        <w:tc>
          <w:tcPr>
            <w:tcW w:w="2669" w:type="dxa"/>
            <w:tcBorders>
              <w:top w:val="single" w:sz="8" w:space="0" w:color="auto"/>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680"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螺纹钢交易保证金比例</w:t>
            </w:r>
          </w:p>
        </w:tc>
      </w:tr>
      <w:tr w:rsidR="00E10318" w:rsidRPr="00E10318" w:rsidTr="00E10318">
        <w:trPr>
          <w:trHeight w:hRule="exact" w:val="369"/>
          <w:jc w:val="center"/>
        </w:trPr>
        <w:tc>
          <w:tcPr>
            <w:tcW w:w="4208"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X≤120万</w:t>
            </w:r>
          </w:p>
        </w:tc>
        <w:tc>
          <w:tcPr>
            <w:tcW w:w="2669"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5%</w:t>
            </w:r>
          </w:p>
        </w:tc>
      </w:tr>
      <w:tr w:rsidR="00E10318" w:rsidRPr="00E10318" w:rsidTr="00E10318">
        <w:trPr>
          <w:trHeight w:hRule="exact" w:val="369"/>
          <w:jc w:val="center"/>
        </w:trPr>
        <w:tc>
          <w:tcPr>
            <w:tcW w:w="4208"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120万＜X≤135万</w:t>
            </w:r>
          </w:p>
        </w:tc>
        <w:tc>
          <w:tcPr>
            <w:tcW w:w="2669"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7%</w:t>
            </w:r>
          </w:p>
        </w:tc>
      </w:tr>
      <w:tr w:rsidR="00E10318" w:rsidRPr="00E10318" w:rsidTr="00E10318">
        <w:trPr>
          <w:trHeight w:hRule="exact" w:val="369"/>
          <w:jc w:val="center"/>
        </w:trPr>
        <w:tc>
          <w:tcPr>
            <w:tcW w:w="4208"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135万＜X≤150万</w:t>
            </w:r>
          </w:p>
        </w:tc>
        <w:tc>
          <w:tcPr>
            <w:tcW w:w="2669"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宋体" w:eastAsia="宋体" w:hAnsi="宋体" w:cs="宋体" w:hint="eastAsia"/>
                <w:kern w:val="0"/>
                <w:sz w:val="24"/>
                <w:szCs w:val="24"/>
              </w:rPr>
              <w:t> </w:t>
            </w:r>
            <w:r w:rsidRPr="00E10318">
              <w:rPr>
                <w:rFonts w:ascii="仿宋" w:eastAsia="仿宋" w:hAnsi="仿宋" w:cs="仿宋" w:hint="eastAsia"/>
                <w:kern w:val="0"/>
                <w:sz w:val="24"/>
                <w:szCs w:val="24"/>
              </w:rPr>
              <w:t>9%</w:t>
            </w:r>
          </w:p>
        </w:tc>
      </w:tr>
      <w:tr w:rsidR="00E10318" w:rsidRPr="00E10318" w:rsidTr="00E10318">
        <w:trPr>
          <w:trHeight w:hRule="exact" w:val="369"/>
          <w:jc w:val="center"/>
        </w:trPr>
        <w:tc>
          <w:tcPr>
            <w:tcW w:w="4208"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宋体" w:eastAsia="宋体" w:hAnsi="宋体" w:cs="宋体" w:hint="eastAsia"/>
                <w:kern w:val="0"/>
                <w:sz w:val="24"/>
                <w:szCs w:val="24"/>
              </w:rPr>
              <w:t> </w:t>
            </w:r>
            <w:r w:rsidRPr="00E10318">
              <w:rPr>
                <w:rFonts w:ascii="仿宋" w:eastAsia="仿宋" w:hAnsi="仿宋" w:cs="仿宋" w:hint="eastAsia"/>
                <w:kern w:val="0"/>
                <w:sz w:val="24"/>
                <w:szCs w:val="24"/>
              </w:rPr>
              <w:t>X</w:t>
            </w:r>
            <w:r w:rsidRPr="00E10318">
              <w:rPr>
                <w:rFonts w:ascii="仿宋" w:eastAsia="仿宋" w:hAnsi="仿宋" w:cs="宋体" w:hint="eastAsia"/>
                <w:kern w:val="0"/>
                <w:sz w:val="24"/>
                <w:szCs w:val="24"/>
              </w:rPr>
              <w:t xml:space="preserve">＞150万 </w:t>
            </w:r>
          </w:p>
        </w:tc>
        <w:tc>
          <w:tcPr>
            <w:tcW w:w="2669"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宋体" w:eastAsia="宋体" w:hAnsi="宋体" w:cs="宋体" w:hint="eastAsia"/>
                <w:kern w:val="0"/>
                <w:sz w:val="24"/>
                <w:szCs w:val="24"/>
              </w:rPr>
              <w:t> </w:t>
            </w:r>
            <w:r w:rsidRPr="00E10318">
              <w:rPr>
                <w:rFonts w:ascii="仿宋" w:eastAsia="仿宋" w:hAnsi="仿宋" w:cs="仿宋" w:hint="eastAsia"/>
                <w:kern w:val="0"/>
                <w:sz w:val="24"/>
                <w:szCs w:val="24"/>
              </w:rPr>
              <w:t>11%</w:t>
            </w:r>
          </w:p>
        </w:tc>
      </w:tr>
    </w:tbl>
    <w:p w:rsidR="00E10318" w:rsidRPr="00E10318" w:rsidRDefault="00E10318" w:rsidP="00E10318">
      <w:pPr>
        <w:widowControl/>
        <w:spacing w:before="100" w:beforeAutospacing="1" w:after="100" w:afterAutospacing="1"/>
        <w:ind w:leftChars="514" w:left="1079"/>
        <w:jc w:val="left"/>
        <w:rPr>
          <w:rFonts w:ascii="宋体" w:eastAsia="宋体" w:hAnsi="宋体" w:cs="宋体"/>
          <w:kern w:val="0"/>
          <w:sz w:val="24"/>
          <w:szCs w:val="24"/>
        </w:rPr>
      </w:pPr>
      <w:r w:rsidRPr="00E10318">
        <w:rPr>
          <w:rFonts w:ascii="仿宋" w:eastAsia="仿宋" w:hAnsi="仿宋" w:cs="宋体" w:hint="eastAsia"/>
          <w:spacing w:val="8"/>
          <w:kern w:val="0"/>
          <w:sz w:val="24"/>
          <w:szCs w:val="24"/>
        </w:rPr>
        <w:t>注：X表示某一月份合约的双边持仓总量，单位：手。</w:t>
      </w:r>
    </w:p>
    <w:p w:rsidR="00E10318" w:rsidRPr="00E10318" w:rsidRDefault="00E10318" w:rsidP="00E10318">
      <w:pPr>
        <w:widowControl/>
        <w:spacing w:before="100" w:beforeAutospacing="1" w:after="100" w:afterAutospacing="1"/>
        <w:ind w:leftChars="514" w:left="1079"/>
        <w:jc w:val="left"/>
        <w:rPr>
          <w:rFonts w:ascii="宋体" w:eastAsia="宋体" w:hAnsi="宋体" w:cs="宋体"/>
          <w:kern w:val="0"/>
          <w:sz w:val="24"/>
          <w:szCs w:val="24"/>
        </w:rPr>
      </w:pPr>
      <w:r w:rsidRPr="00E10318">
        <w:rPr>
          <w:rFonts w:ascii="宋体" w:eastAsia="宋体" w:hAnsi="宋体" w:cs="宋体" w:hint="eastAsia"/>
          <w:spacing w:val="8"/>
          <w:kern w:val="0"/>
          <w:sz w:val="24"/>
          <w:szCs w:val="24"/>
        </w:rPr>
        <w:t> </w:t>
      </w:r>
    </w:p>
    <w:p w:rsidR="00E10318" w:rsidRPr="00E10318" w:rsidRDefault="00E10318" w:rsidP="0036532F">
      <w:pPr>
        <w:widowControl/>
        <w:spacing w:before="100" w:beforeAutospacing="1" w:afterLines="50"/>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表八</w:t>
      </w:r>
      <w:r w:rsidRPr="00E10318">
        <w:rPr>
          <w:rFonts w:ascii="宋体" w:eastAsia="宋体" w:hAnsi="宋体" w:cs="宋体" w:hint="eastAsia"/>
          <w:b/>
          <w:bCs/>
          <w:spacing w:val="8"/>
          <w:kern w:val="0"/>
          <w:sz w:val="24"/>
          <w:szCs w:val="24"/>
        </w:rPr>
        <w:t> </w:t>
      </w:r>
      <w:r w:rsidRPr="00E10318">
        <w:rPr>
          <w:rFonts w:ascii="仿宋" w:eastAsia="仿宋" w:hAnsi="仿宋" w:cs="仿宋" w:hint="eastAsia"/>
          <w:b/>
          <w:bCs/>
          <w:spacing w:val="8"/>
          <w:kern w:val="0"/>
          <w:sz w:val="24"/>
          <w:szCs w:val="24"/>
        </w:rPr>
        <w:t xml:space="preserve"> </w:t>
      </w:r>
      <w:r w:rsidRPr="00E10318">
        <w:rPr>
          <w:rFonts w:ascii="仿宋" w:eastAsia="仿宋" w:hAnsi="仿宋" w:cs="宋体" w:hint="eastAsia"/>
          <w:b/>
          <w:bCs/>
          <w:spacing w:val="8"/>
          <w:kern w:val="0"/>
          <w:sz w:val="24"/>
          <w:szCs w:val="24"/>
        </w:rPr>
        <w:t>线材期货合约持仓量变化时的交易保证金收取标准</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8"/>
        <w:gridCol w:w="2667"/>
      </w:tblGrid>
      <w:tr w:rsidR="00E10318" w:rsidRPr="00E10318" w:rsidTr="00E10318">
        <w:trPr>
          <w:cantSplit/>
          <w:trHeight w:hRule="exact" w:val="680"/>
          <w:jc w:val="center"/>
        </w:trPr>
        <w:tc>
          <w:tcPr>
            <w:tcW w:w="4282"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从进入交割月前第三月的第一个交易日起，</w:t>
            </w:r>
          </w:p>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当持仓总量（X）达到下列标准时</w:t>
            </w:r>
          </w:p>
        </w:tc>
        <w:tc>
          <w:tcPr>
            <w:tcW w:w="2669"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680"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线材交易保证金比例</w:t>
            </w:r>
          </w:p>
        </w:tc>
      </w:tr>
      <w:tr w:rsidR="00E10318" w:rsidRPr="00E10318" w:rsidTr="00E10318">
        <w:trPr>
          <w:trHeight w:hRule="exact" w:val="369"/>
          <w:jc w:val="center"/>
        </w:trPr>
        <w:tc>
          <w:tcPr>
            <w:tcW w:w="4282"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X≤45万</w:t>
            </w:r>
          </w:p>
        </w:tc>
        <w:tc>
          <w:tcPr>
            <w:tcW w:w="2669"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7%</w:t>
            </w:r>
          </w:p>
        </w:tc>
      </w:tr>
      <w:tr w:rsidR="00E10318" w:rsidRPr="00E10318" w:rsidTr="00E10318">
        <w:trPr>
          <w:trHeight w:hRule="exact" w:val="369"/>
          <w:jc w:val="center"/>
        </w:trPr>
        <w:tc>
          <w:tcPr>
            <w:tcW w:w="4282"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45万＜X≤60万</w:t>
            </w:r>
          </w:p>
        </w:tc>
        <w:tc>
          <w:tcPr>
            <w:tcW w:w="2669"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8%</w:t>
            </w:r>
          </w:p>
        </w:tc>
      </w:tr>
      <w:tr w:rsidR="00E10318" w:rsidRPr="00E10318" w:rsidTr="00E10318">
        <w:trPr>
          <w:trHeight w:hRule="exact" w:val="369"/>
          <w:jc w:val="center"/>
        </w:trPr>
        <w:tc>
          <w:tcPr>
            <w:tcW w:w="4282"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60万＜X≤75万</w:t>
            </w:r>
          </w:p>
        </w:tc>
        <w:tc>
          <w:tcPr>
            <w:tcW w:w="2669"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r w:rsidR="00E10318" w:rsidRPr="00E10318" w:rsidTr="00E10318">
        <w:trPr>
          <w:trHeight w:hRule="exact" w:val="369"/>
          <w:jc w:val="center"/>
        </w:trPr>
        <w:tc>
          <w:tcPr>
            <w:tcW w:w="4282"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X＞75万</w:t>
            </w:r>
          </w:p>
        </w:tc>
        <w:tc>
          <w:tcPr>
            <w:tcW w:w="2669"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12%</w:t>
            </w:r>
          </w:p>
        </w:tc>
      </w:tr>
    </w:tbl>
    <w:p w:rsidR="00E10318" w:rsidRPr="00E10318" w:rsidRDefault="00E10318" w:rsidP="0036532F">
      <w:pPr>
        <w:widowControl/>
        <w:spacing w:before="100" w:beforeAutospacing="1" w:afterLines="50"/>
        <w:ind w:firstLineChars="498" w:firstLine="1275"/>
        <w:jc w:val="left"/>
        <w:rPr>
          <w:rFonts w:ascii="宋体" w:eastAsia="宋体" w:hAnsi="宋体" w:cs="宋体"/>
          <w:kern w:val="0"/>
          <w:sz w:val="24"/>
          <w:szCs w:val="24"/>
        </w:rPr>
      </w:pPr>
      <w:r w:rsidRPr="00E10318">
        <w:rPr>
          <w:rFonts w:ascii="仿宋" w:eastAsia="仿宋" w:hAnsi="仿宋" w:cs="宋体" w:hint="eastAsia"/>
          <w:spacing w:val="8"/>
          <w:kern w:val="0"/>
          <w:sz w:val="24"/>
          <w:szCs w:val="24"/>
        </w:rPr>
        <w:t>注：X表示某一月份合约的双边持仓总量，单位：手。</w:t>
      </w:r>
    </w:p>
    <w:p w:rsidR="00E10318" w:rsidRPr="00E10318" w:rsidRDefault="00E10318" w:rsidP="00E10318">
      <w:pPr>
        <w:widowControl/>
        <w:spacing w:before="100" w:beforeAutospacing="1" w:after="100" w:afterAutospacing="1"/>
        <w:ind w:leftChars="514" w:left="1079"/>
        <w:jc w:val="left"/>
        <w:rPr>
          <w:rFonts w:ascii="宋体" w:eastAsia="宋体" w:hAnsi="宋体" w:cs="宋体"/>
          <w:kern w:val="0"/>
          <w:sz w:val="24"/>
          <w:szCs w:val="24"/>
        </w:rPr>
      </w:pPr>
      <w:r w:rsidRPr="00E10318">
        <w:rPr>
          <w:rFonts w:ascii="宋体" w:eastAsia="宋体" w:hAnsi="宋体" w:cs="宋体" w:hint="eastAsia"/>
          <w:spacing w:val="8"/>
          <w:kern w:val="0"/>
          <w:sz w:val="24"/>
          <w:szCs w:val="24"/>
        </w:rPr>
        <w:t> </w:t>
      </w:r>
    </w:p>
    <w:p w:rsidR="00E10318" w:rsidRPr="00E10318" w:rsidRDefault="00E10318" w:rsidP="0036532F">
      <w:pPr>
        <w:widowControl/>
        <w:spacing w:before="100" w:beforeAutospacing="1" w:afterLines="50"/>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表九 黄金期货合约持仓量变化时的交易保证金收取标准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2"/>
        <w:gridCol w:w="2717"/>
      </w:tblGrid>
      <w:tr w:rsidR="00E10318" w:rsidRPr="00E10318" w:rsidTr="00E10318">
        <w:trPr>
          <w:cantSplit/>
          <w:trHeight w:hRule="exact" w:val="680"/>
          <w:jc w:val="center"/>
        </w:trPr>
        <w:tc>
          <w:tcPr>
            <w:tcW w:w="4252" w:type="dxa"/>
            <w:tcBorders>
              <w:top w:val="single" w:sz="8" w:space="0" w:color="auto"/>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680" w:lineRule="auto"/>
              <w:jc w:val="center"/>
              <w:rPr>
                <w:rFonts w:ascii="宋体" w:eastAsia="宋体" w:hAnsi="宋体" w:cs="宋体"/>
                <w:kern w:val="0"/>
                <w:sz w:val="24"/>
                <w:szCs w:val="24"/>
              </w:rPr>
            </w:pPr>
            <w:r w:rsidRPr="00E10318">
              <w:rPr>
                <w:rFonts w:ascii="仿宋_GB2312" w:eastAsia="仿宋_GB2312" w:hAnsi="宋体" w:cs="宋体" w:hint="eastAsia"/>
                <w:kern w:val="0"/>
                <w:sz w:val="24"/>
                <w:szCs w:val="24"/>
              </w:rPr>
              <w:t>从进入交割月前第三月的第一个交易日起，当持仓总量（</w:t>
            </w:r>
            <w:r w:rsidRPr="00E10318">
              <w:rPr>
                <w:rFonts w:ascii="宋体" w:eastAsia="宋体" w:hAnsi="宋体" w:cs="宋体"/>
                <w:kern w:val="0"/>
                <w:sz w:val="24"/>
                <w:szCs w:val="24"/>
              </w:rPr>
              <w:t>X</w:t>
            </w:r>
            <w:r w:rsidRPr="00E10318">
              <w:rPr>
                <w:rFonts w:ascii="仿宋_GB2312" w:eastAsia="仿宋_GB2312" w:hAnsi="宋体" w:cs="宋体" w:hint="eastAsia"/>
                <w:kern w:val="0"/>
                <w:sz w:val="24"/>
                <w:szCs w:val="24"/>
              </w:rPr>
              <w:t>）达到下列标准时</w:t>
            </w:r>
          </w:p>
        </w:tc>
        <w:tc>
          <w:tcPr>
            <w:tcW w:w="2717" w:type="dxa"/>
            <w:tcBorders>
              <w:top w:val="single" w:sz="8" w:space="0" w:color="auto"/>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680" w:lineRule="auto"/>
              <w:jc w:val="center"/>
              <w:rPr>
                <w:rFonts w:ascii="宋体" w:eastAsia="宋体" w:hAnsi="宋体" w:cs="宋体"/>
                <w:kern w:val="0"/>
                <w:sz w:val="24"/>
                <w:szCs w:val="24"/>
              </w:rPr>
            </w:pPr>
            <w:r w:rsidRPr="00E10318">
              <w:rPr>
                <w:rFonts w:ascii="仿宋_GB2312" w:eastAsia="仿宋_GB2312" w:hAnsi="宋体" w:cs="宋体" w:hint="eastAsia"/>
                <w:kern w:val="0"/>
                <w:sz w:val="24"/>
                <w:szCs w:val="24"/>
              </w:rPr>
              <w:t>黄金交易保证金比例</w:t>
            </w:r>
          </w:p>
        </w:tc>
      </w:tr>
      <w:tr w:rsidR="00E10318" w:rsidRPr="00E10318" w:rsidTr="00E10318">
        <w:trPr>
          <w:trHeight w:hRule="exact" w:val="369"/>
          <w:jc w:val="center"/>
        </w:trPr>
        <w:tc>
          <w:tcPr>
            <w:tcW w:w="4252"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宋体" w:eastAsia="宋体" w:hAnsi="宋体" w:cs="宋体"/>
                <w:kern w:val="0"/>
                <w:sz w:val="24"/>
                <w:szCs w:val="24"/>
              </w:rPr>
              <w:t>X</w:t>
            </w:r>
            <w:r w:rsidRPr="00E10318">
              <w:rPr>
                <w:rFonts w:ascii="仿宋_GB2312" w:eastAsia="仿宋_GB2312" w:hAnsi="宋体" w:cs="宋体" w:hint="eastAsia"/>
                <w:kern w:val="0"/>
                <w:sz w:val="24"/>
                <w:szCs w:val="24"/>
              </w:rPr>
              <w:t>≤</w:t>
            </w:r>
            <w:r w:rsidRPr="00E10318">
              <w:rPr>
                <w:rFonts w:ascii="宋体" w:eastAsia="宋体" w:hAnsi="宋体" w:cs="宋体"/>
                <w:kern w:val="0"/>
                <w:sz w:val="24"/>
                <w:szCs w:val="24"/>
              </w:rPr>
              <w:t>36</w:t>
            </w:r>
            <w:r w:rsidRPr="00E10318">
              <w:rPr>
                <w:rFonts w:ascii="仿宋_GB2312" w:eastAsia="仿宋_GB2312" w:hAnsi="宋体" w:cs="宋体" w:hint="eastAsia"/>
                <w:kern w:val="0"/>
                <w:sz w:val="24"/>
                <w:szCs w:val="24"/>
              </w:rPr>
              <w:t>万</w:t>
            </w:r>
          </w:p>
        </w:tc>
        <w:tc>
          <w:tcPr>
            <w:tcW w:w="2717"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宋体" w:eastAsia="宋体" w:hAnsi="宋体" w:cs="宋体"/>
                <w:kern w:val="0"/>
                <w:sz w:val="24"/>
                <w:szCs w:val="24"/>
              </w:rPr>
              <w:t>4%</w:t>
            </w:r>
          </w:p>
        </w:tc>
      </w:tr>
      <w:tr w:rsidR="00E10318" w:rsidRPr="00E10318" w:rsidTr="00E10318">
        <w:trPr>
          <w:trHeight w:hRule="exact" w:val="369"/>
          <w:jc w:val="center"/>
        </w:trPr>
        <w:tc>
          <w:tcPr>
            <w:tcW w:w="4252"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宋体" w:eastAsia="宋体" w:hAnsi="宋体" w:cs="宋体"/>
                <w:kern w:val="0"/>
                <w:sz w:val="24"/>
                <w:szCs w:val="24"/>
              </w:rPr>
              <w:t>36</w:t>
            </w:r>
            <w:r w:rsidRPr="00E10318">
              <w:rPr>
                <w:rFonts w:ascii="仿宋_GB2312" w:eastAsia="仿宋_GB2312" w:hAnsi="宋体" w:cs="宋体" w:hint="eastAsia"/>
                <w:kern w:val="0"/>
                <w:sz w:val="24"/>
                <w:szCs w:val="24"/>
              </w:rPr>
              <w:t>万＜</w:t>
            </w:r>
            <w:r w:rsidRPr="00E10318">
              <w:rPr>
                <w:rFonts w:ascii="宋体" w:eastAsia="宋体" w:hAnsi="宋体" w:cs="宋体"/>
                <w:kern w:val="0"/>
                <w:sz w:val="24"/>
                <w:szCs w:val="24"/>
              </w:rPr>
              <w:t>X</w:t>
            </w:r>
            <w:r w:rsidRPr="00E10318">
              <w:rPr>
                <w:rFonts w:ascii="仿宋_GB2312" w:eastAsia="仿宋_GB2312" w:hAnsi="宋体" w:cs="宋体" w:hint="eastAsia"/>
                <w:kern w:val="0"/>
                <w:sz w:val="24"/>
                <w:szCs w:val="24"/>
              </w:rPr>
              <w:t>≤</w:t>
            </w:r>
            <w:r w:rsidRPr="00E10318">
              <w:rPr>
                <w:rFonts w:ascii="宋体" w:eastAsia="宋体" w:hAnsi="宋体" w:cs="宋体"/>
                <w:kern w:val="0"/>
                <w:sz w:val="24"/>
                <w:szCs w:val="24"/>
              </w:rPr>
              <w:t>48</w:t>
            </w:r>
            <w:r w:rsidRPr="00E10318">
              <w:rPr>
                <w:rFonts w:ascii="仿宋_GB2312" w:eastAsia="仿宋_GB2312" w:hAnsi="宋体" w:cs="宋体" w:hint="eastAsia"/>
                <w:kern w:val="0"/>
                <w:sz w:val="24"/>
                <w:szCs w:val="24"/>
              </w:rPr>
              <w:t>万</w:t>
            </w:r>
          </w:p>
        </w:tc>
        <w:tc>
          <w:tcPr>
            <w:tcW w:w="2717"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宋体" w:eastAsia="宋体" w:hAnsi="宋体" w:cs="宋体"/>
                <w:kern w:val="0"/>
                <w:sz w:val="24"/>
                <w:szCs w:val="24"/>
              </w:rPr>
              <w:t>7%</w:t>
            </w:r>
          </w:p>
        </w:tc>
      </w:tr>
      <w:tr w:rsidR="00E10318" w:rsidRPr="00E10318" w:rsidTr="00E10318">
        <w:trPr>
          <w:trHeight w:hRule="exact" w:val="369"/>
          <w:jc w:val="center"/>
        </w:trPr>
        <w:tc>
          <w:tcPr>
            <w:tcW w:w="4252"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宋体" w:eastAsia="宋体" w:hAnsi="宋体" w:cs="宋体"/>
                <w:kern w:val="0"/>
                <w:sz w:val="24"/>
                <w:szCs w:val="24"/>
              </w:rPr>
              <w:t>X</w:t>
            </w:r>
            <w:r w:rsidRPr="00E10318">
              <w:rPr>
                <w:rFonts w:ascii="仿宋_GB2312" w:eastAsia="仿宋_GB2312" w:hAnsi="宋体" w:cs="宋体" w:hint="eastAsia"/>
                <w:kern w:val="0"/>
                <w:sz w:val="24"/>
                <w:szCs w:val="24"/>
              </w:rPr>
              <w:t>＞</w:t>
            </w:r>
            <w:r w:rsidRPr="00E10318">
              <w:rPr>
                <w:rFonts w:ascii="宋体" w:eastAsia="宋体" w:hAnsi="宋体" w:cs="宋体"/>
                <w:kern w:val="0"/>
                <w:sz w:val="24"/>
                <w:szCs w:val="24"/>
              </w:rPr>
              <w:t>48</w:t>
            </w:r>
            <w:r w:rsidRPr="00E10318">
              <w:rPr>
                <w:rFonts w:ascii="仿宋_GB2312" w:eastAsia="仿宋_GB2312" w:hAnsi="宋体" w:cs="宋体" w:hint="eastAsia"/>
                <w:kern w:val="0"/>
                <w:sz w:val="24"/>
                <w:szCs w:val="24"/>
              </w:rPr>
              <w:t>万</w:t>
            </w:r>
          </w:p>
        </w:tc>
        <w:tc>
          <w:tcPr>
            <w:tcW w:w="2717"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宋体" w:eastAsia="宋体" w:hAnsi="宋体" w:cs="宋体"/>
                <w:kern w:val="0"/>
                <w:sz w:val="24"/>
                <w:szCs w:val="24"/>
              </w:rPr>
              <w:t>10%</w:t>
            </w:r>
          </w:p>
        </w:tc>
      </w:tr>
    </w:tbl>
    <w:p w:rsidR="00E10318" w:rsidRPr="00E10318" w:rsidRDefault="00E10318" w:rsidP="0036532F">
      <w:pPr>
        <w:widowControl/>
        <w:spacing w:before="100" w:beforeAutospacing="1" w:afterLines="50"/>
        <w:ind w:firstLineChars="498" w:firstLine="1275"/>
        <w:jc w:val="left"/>
        <w:rPr>
          <w:rFonts w:ascii="宋体" w:eastAsia="宋体" w:hAnsi="宋体" w:cs="宋体"/>
          <w:kern w:val="0"/>
          <w:sz w:val="24"/>
          <w:szCs w:val="24"/>
        </w:rPr>
      </w:pPr>
      <w:r w:rsidRPr="00E10318">
        <w:rPr>
          <w:rFonts w:ascii="仿宋" w:eastAsia="仿宋" w:hAnsi="仿宋" w:cs="宋体" w:hint="eastAsia"/>
          <w:spacing w:val="8"/>
          <w:kern w:val="0"/>
          <w:sz w:val="24"/>
          <w:szCs w:val="24"/>
        </w:rPr>
        <w:t>注：X表示某一月份合约的双边持仓总量，单位：手。</w:t>
      </w:r>
    </w:p>
    <w:p w:rsidR="00E10318" w:rsidRPr="00E10318" w:rsidRDefault="00E10318" w:rsidP="0036532F">
      <w:pPr>
        <w:widowControl/>
        <w:spacing w:before="100" w:beforeAutospacing="1" w:afterLines="50"/>
        <w:ind w:firstLineChars="498" w:firstLine="1275"/>
        <w:jc w:val="left"/>
        <w:rPr>
          <w:rFonts w:ascii="宋体" w:eastAsia="宋体" w:hAnsi="宋体" w:cs="宋体"/>
          <w:kern w:val="0"/>
          <w:sz w:val="24"/>
          <w:szCs w:val="24"/>
        </w:rPr>
      </w:pPr>
      <w:r w:rsidRPr="00E10318">
        <w:rPr>
          <w:rFonts w:ascii="宋体" w:eastAsia="宋体" w:hAnsi="宋体" w:cs="宋体" w:hint="eastAsia"/>
          <w:spacing w:val="8"/>
          <w:kern w:val="0"/>
          <w:sz w:val="24"/>
          <w:szCs w:val="24"/>
        </w:rPr>
        <w:t> </w:t>
      </w:r>
    </w:p>
    <w:p w:rsidR="00E10318" w:rsidRPr="00E10318" w:rsidRDefault="00E10318" w:rsidP="0036532F">
      <w:pPr>
        <w:widowControl/>
        <w:spacing w:before="100" w:beforeAutospacing="1" w:afterLines="50"/>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表十 白银期货合约持仓量变化时的交易保证金收取标准</w:t>
      </w:r>
    </w:p>
    <w:tbl>
      <w:tblPr>
        <w:tblW w:w="0" w:type="auto"/>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8"/>
        <w:gridCol w:w="3314"/>
      </w:tblGrid>
      <w:tr w:rsidR="00E10318" w:rsidRPr="00E10318" w:rsidTr="00E10318">
        <w:trPr>
          <w:trHeight w:val="832"/>
          <w:jc w:val="center"/>
        </w:trPr>
        <w:tc>
          <w:tcPr>
            <w:tcW w:w="3818" w:type="dxa"/>
            <w:tcBorders>
              <w:top w:val="single" w:sz="8" w:space="0" w:color="auto"/>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从进入交割月前第三月的第一个交易日起，当持仓总量（X）达到下列标准时</w:t>
            </w:r>
          </w:p>
        </w:tc>
        <w:tc>
          <w:tcPr>
            <w:tcW w:w="3314" w:type="dxa"/>
            <w:tcBorders>
              <w:top w:val="single" w:sz="8" w:space="0" w:color="auto"/>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白银交易保证金比例</w:t>
            </w:r>
          </w:p>
        </w:tc>
      </w:tr>
      <w:tr w:rsidR="00E10318" w:rsidRPr="00E10318" w:rsidTr="00E10318">
        <w:trPr>
          <w:trHeight w:val="405"/>
          <w:jc w:val="center"/>
        </w:trPr>
        <w:tc>
          <w:tcPr>
            <w:tcW w:w="3818"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X≤30万</w:t>
            </w:r>
          </w:p>
        </w:tc>
        <w:tc>
          <w:tcPr>
            <w:tcW w:w="3314"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宋体" w:eastAsia="宋体" w:hAnsi="宋体" w:cs="宋体" w:hint="eastAsia"/>
                <w:kern w:val="0"/>
                <w:sz w:val="24"/>
                <w:szCs w:val="24"/>
              </w:rPr>
              <w:t> </w:t>
            </w:r>
            <w:r w:rsidRPr="00E10318">
              <w:rPr>
                <w:rFonts w:ascii="仿宋" w:eastAsia="仿宋" w:hAnsi="仿宋" w:cs="仿宋" w:hint="eastAsia"/>
                <w:kern w:val="0"/>
                <w:sz w:val="24"/>
                <w:szCs w:val="24"/>
              </w:rPr>
              <w:t>4%</w:t>
            </w:r>
          </w:p>
        </w:tc>
      </w:tr>
      <w:tr w:rsidR="00E10318" w:rsidRPr="00E10318" w:rsidTr="00E10318">
        <w:trPr>
          <w:trHeight w:val="405"/>
          <w:jc w:val="center"/>
        </w:trPr>
        <w:tc>
          <w:tcPr>
            <w:tcW w:w="3818"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30万＜X≤60万</w:t>
            </w:r>
          </w:p>
        </w:tc>
        <w:tc>
          <w:tcPr>
            <w:tcW w:w="3314"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7%</w:t>
            </w:r>
          </w:p>
        </w:tc>
      </w:tr>
      <w:tr w:rsidR="00E10318" w:rsidRPr="00E10318" w:rsidTr="00E10318">
        <w:trPr>
          <w:trHeight w:val="405"/>
          <w:jc w:val="center"/>
        </w:trPr>
        <w:tc>
          <w:tcPr>
            <w:tcW w:w="3818"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lastRenderedPageBreak/>
              <w:t>X＞60万</w:t>
            </w:r>
          </w:p>
        </w:tc>
        <w:tc>
          <w:tcPr>
            <w:tcW w:w="3314"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bl>
    <w:p w:rsidR="00E10318" w:rsidRPr="00E10318" w:rsidRDefault="00E10318" w:rsidP="0036532F">
      <w:pPr>
        <w:widowControl/>
        <w:spacing w:before="100" w:beforeAutospacing="1" w:afterLines="50"/>
        <w:ind w:firstLineChars="498" w:firstLine="1275"/>
        <w:jc w:val="left"/>
        <w:rPr>
          <w:rFonts w:ascii="宋体" w:eastAsia="宋体" w:hAnsi="宋体" w:cs="宋体"/>
          <w:kern w:val="0"/>
          <w:sz w:val="24"/>
          <w:szCs w:val="24"/>
        </w:rPr>
      </w:pPr>
      <w:r w:rsidRPr="00E10318">
        <w:rPr>
          <w:rFonts w:ascii="仿宋" w:eastAsia="仿宋" w:hAnsi="仿宋" w:cs="宋体" w:hint="eastAsia"/>
          <w:spacing w:val="8"/>
          <w:kern w:val="0"/>
          <w:sz w:val="24"/>
          <w:szCs w:val="24"/>
        </w:rPr>
        <w:t>注：X表示某一月份合约的双边持仓总量，单位：手。</w:t>
      </w:r>
    </w:p>
    <w:p w:rsidR="00E10318" w:rsidRPr="00E10318" w:rsidRDefault="00E10318" w:rsidP="0036532F">
      <w:pPr>
        <w:widowControl/>
        <w:spacing w:before="100" w:beforeAutospacing="1" w:afterLines="50"/>
        <w:jc w:val="center"/>
        <w:rPr>
          <w:rFonts w:ascii="宋体" w:eastAsia="宋体" w:hAnsi="宋体" w:cs="宋体"/>
          <w:kern w:val="0"/>
          <w:sz w:val="24"/>
          <w:szCs w:val="24"/>
        </w:rPr>
      </w:pPr>
      <w:r w:rsidRPr="00E10318">
        <w:rPr>
          <w:rFonts w:ascii="宋体" w:eastAsia="宋体" w:hAnsi="宋体" w:cs="宋体" w:hint="eastAsia"/>
          <w:spacing w:val="8"/>
          <w:kern w:val="0"/>
          <w:sz w:val="24"/>
          <w:szCs w:val="24"/>
        </w:rPr>
        <w:t> </w:t>
      </w:r>
    </w:p>
    <w:p w:rsidR="00E10318" w:rsidRPr="00E10318" w:rsidRDefault="00E10318" w:rsidP="0036532F">
      <w:pPr>
        <w:widowControl/>
        <w:spacing w:before="100" w:beforeAutospacing="1" w:afterLines="50"/>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表十一 天然橡胶期货合约持仓量变化时的交易保证金收取标准</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6"/>
        <w:gridCol w:w="2699"/>
      </w:tblGrid>
      <w:tr w:rsidR="00E10318" w:rsidRPr="00E10318" w:rsidTr="00E10318">
        <w:trPr>
          <w:cantSplit/>
          <w:trHeight w:hRule="exact" w:val="680"/>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从合约新上市挂牌之日起，</w:t>
            </w:r>
          </w:p>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当持仓总量（X）达到下列标准时</w:t>
            </w:r>
          </w:p>
        </w:tc>
        <w:tc>
          <w:tcPr>
            <w:tcW w:w="270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680"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天然橡胶交易保证金比例</w:t>
            </w:r>
          </w:p>
        </w:tc>
      </w:tr>
      <w:tr w:rsidR="00E10318" w:rsidRPr="00E10318" w:rsidTr="00E10318">
        <w:trPr>
          <w:trHeight w:hRule="exact" w:val="369"/>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宋体" w:eastAsia="宋体" w:hAnsi="宋体" w:cs="宋体" w:hint="eastAsia"/>
                <w:kern w:val="0"/>
                <w:sz w:val="24"/>
                <w:szCs w:val="24"/>
              </w:rPr>
              <w:t> </w:t>
            </w:r>
            <w:r w:rsidRPr="00E10318">
              <w:rPr>
                <w:rFonts w:ascii="仿宋" w:eastAsia="仿宋" w:hAnsi="仿宋" w:cs="仿宋" w:hint="eastAsia"/>
                <w:kern w:val="0"/>
                <w:sz w:val="24"/>
                <w:szCs w:val="24"/>
              </w:rPr>
              <w:t>X</w:t>
            </w:r>
            <w:r w:rsidRPr="00E10318">
              <w:rPr>
                <w:rFonts w:ascii="仿宋" w:eastAsia="仿宋" w:hAnsi="仿宋" w:cs="宋体" w:hint="eastAsia"/>
                <w:kern w:val="0"/>
                <w:sz w:val="24"/>
                <w:szCs w:val="24"/>
              </w:rPr>
              <w:t>≤8万</w:t>
            </w:r>
          </w:p>
        </w:tc>
        <w:tc>
          <w:tcPr>
            <w:tcW w:w="270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5%</w:t>
            </w:r>
          </w:p>
        </w:tc>
      </w:tr>
      <w:tr w:rsidR="00E10318" w:rsidRPr="00E10318" w:rsidTr="00E10318">
        <w:trPr>
          <w:trHeight w:hRule="exact" w:val="369"/>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8万＜X≤12万</w:t>
            </w:r>
          </w:p>
        </w:tc>
        <w:tc>
          <w:tcPr>
            <w:tcW w:w="270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8%</w:t>
            </w:r>
          </w:p>
        </w:tc>
      </w:tr>
      <w:tr w:rsidR="00E10318" w:rsidRPr="00E10318" w:rsidTr="00E10318">
        <w:trPr>
          <w:trHeight w:hRule="exact" w:val="369"/>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12万＜X≤16万</w:t>
            </w:r>
          </w:p>
        </w:tc>
        <w:tc>
          <w:tcPr>
            <w:tcW w:w="270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r w:rsidR="00E10318" w:rsidRPr="00E10318" w:rsidTr="00E10318">
        <w:trPr>
          <w:trHeight w:hRule="exact" w:val="369"/>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宋体" w:eastAsia="宋体" w:hAnsi="宋体" w:cs="宋体" w:hint="eastAsia"/>
                <w:kern w:val="0"/>
                <w:sz w:val="24"/>
                <w:szCs w:val="24"/>
              </w:rPr>
              <w:t> </w:t>
            </w:r>
            <w:r w:rsidRPr="00E10318">
              <w:rPr>
                <w:rFonts w:ascii="仿宋" w:eastAsia="仿宋" w:hAnsi="仿宋" w:cs="仿宋" w:hint="eastAsia"/>
                <w:kern w:val="0"/>
                <w:sz w:val="24"/>
                <w:szCs w:val="24"/>
              </w:rPr>
              <w:t>X</w:t>
            </w:r>
            <w:r w:rsidRPr="00E10318">
              <w:rPr>
                <w:rFonts w:ascii="仿宋" w:eastAsia="仿宋" w:hAnsi="仿宋" w:cs="宋体" w:hint="eastAsia"/>
                <w:kern w:val="0"/>
                <w:sz w:val="24"/>
                <w:szCs w:val="24"/>
              </w:rPr>
              <w:t>＞16万</w:t>
            </w:r>
          </w:p>
        </w:tc>
        <w:tc>
          <w:tcPr>
            <w:tcW w:w="270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12%</w:t>
            </w:r>
          </w:p>
        </w:tc>
      </w:tr>
    </w:tbl>
    <w:p w:rsidR="00E10318" w:rsidRPr="00E10318" w:rsidRDefault="00E10318" w:rsidP="00E10318">
      <w:pPr>
        <w:widowControl/>
        <w:spacing w:before="100" w:beforeAutospacing="1" w:after="100" w:afterAutospacing="1"/>
        <w:ind w:leftChars="514" w:left="1079"/>
        <w:jc w:val="left"/>
        <w:rPr>
          <w:rFonts w:ascii="宋体" w:eastAsia="宋体" w:hAnsi="宋体" w:cs="宋体"/>
          <w:kern w:val="0"/>
          <w:sz w:val="24"/>
          <w:szCs w:val="24"/>
        </w:rPr>
      </w:pPr>
      <w:r w:rsidRPr="00E10318">
        <w:rPr>
          <w:rFonts w:ascii="仿宋" w:eastAsia="仿宋" w:hAnsi="仿宋" w:cs="宋体" w:hint="eastAsia"/>
          <w:spacing w:val="8"/>
          <w:kern w:val="0"/>
          <w:sz w:val="24"/>
          <w:szCs w:val="24"/>
        </w:rPr>
        <w:t>注：X表示某一月份合约的双边持仓总量，单位：手。</w:t>
      </w:r>
    </w:p>
    <w:p w:rsidR="00E10318" w:rsidRPr="00E10318" w:rsidRDefault="00E10318" w:rsidP="0036532F">
      <w:pPr>
        <w:widowControl/>
        <w:spacing w:before="100" w:beforeAutospacing="1" w:afterLines="50"/>
        <w:jc w:val="center"/>
        <w:rPr>
          <w:rFonts w:ascii="宋体" w:eastAsia="宋体" w:hAnsi="宋体" w:cs="宋体"/>
          <w:kern w:val="0"/>
          <w:sz w:val="24"/>
          <w:szCs w:val="24"/>
        </w:rPr>
      </w:pPr>
      <w:r w:rsidRPr="00E10318">
        <w:rPr>
          <w:rFonts w:ascii="宋体" w:eastAsia="宋体" w:hAnsi="宋体" w:cs="宋体" w:hint="eastAsia"/>
          <w:spacing w:val="8"/>
          <w:kern w:val="0"/>
          <w:sz w:val="24"/>
          <w:szCs w:val="24"/>
        </w:rPr>
        <w:t> </w:t>
      </w:r>
    </w:p>
    <w:p w:rsidR="00E10318" w:rsidRPr="00E10318" w:rsidRDefault="00E10318" w:rsidP="0036532F">
      <w:pPr>
        <w:widowControl/>
        <w:spacing w:before="100" w:beforeAutospacing="1" w:afterLines="50"/>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表十二</w:t>
      </w:r>
      <w:r w:rsidRPr="00E10318">
        <w:rPr>
          <w:rFonts w:ascii="宋体" w:eastAsia="宋体" w:hAnsi="宋体" w:cs="宋体" w:hint="eastAsia"/>
          <w:b/>
          <w:bCs/>
          <w:spacing w:val="8"/>
          <w:kern w:val="0"/>
          <w:sz w:val="24"/>
          <w:szCs w:val="24"/>
        </w:rPr>
        <w:t> </w:t>
      </w:r>
      <w:r w:rsidRPr="00E10318">
        <w:rPr>
          <w:rFonts w:ascii="仿宋" w:eastAsia="仿宋" w:hAnsi="仿宋" w:cs="仿宋" w:hint="eastAsia"/>
          <w:b/>
          <w:bCs/>
          <w:spacing w:val="8"/>
          <w:kern w:val="0"/>
          <w:sz w:val="24"/>
          <w:szCs w:val="24"/>
        </w:rPr>
        <w:t xml:space="preserve"> </w:t>
      </w:r>
      <w:r w:rsidRPr="00E10318">
        <w:rPr>
          <w:rFonts w:ascii="仿宋" w:eastAsia="仿宋" w:hAnsi="仿宋" w:cs="宋体" w:hint="eastAsia"/>
          <w:b/>
          <w:bCs/>
          <w:spacing w:val="8"/>
          <w:kern w:val="0"/>
          <w:sz w:val="24"/>
          <w:szCs w:val="24"/>
        </w:rPr>
        <w:t>燃料油期货合约持仓量变化时的交易保证金收取标准</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6"/>
        <w:gridCol w:w="2699"/>
      </w:tblGrid>
      <w:tr w:rsidR="00E10318" w:rsidRPr="00E10318" w:rsidTr="00E10318">
        <w:trPr>
          <w:cantSplit/>
          <w:trHeight w:hRule="exact" w:val="680"/>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从合约新上市挂牌之日起，</w:t>
            </w:r>
          </w:p>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当持仓总量（X）达到下列标准时</w:t>
            </w:r>
          </w:p>
        </w:tc>
        <w:tc>
          <w:tcPr>
            <w:tcW w:w="270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680"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燃料油交易保证金比例</w:t>
            </w:r>
          </w:p>
        </w:tc>
      </w:tr>
      <w:tr w:rsidR="00E10318" w:rsidRPr="00E10318" w:rsidTr="00E10318">
        <w:trPr>
          <w:cantSplit/>
          <w:trHeight w:hRule="exact" w:val="369"/>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X≤10万</w:t>
            </w:r>
          </w:p>
        </w:tc>
        <w:tc>
          <w:tcPr>
            <w:tcW w:w="270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8%</w:t>
            </w:r>
          </w:p>
        </w:tc>
      </w:tr>
      <w:tr w:rsidR="00E10318" w:rsidRPr="00E10318" w:rsidTr="00E10318">
        <w:trPr>
          <w:cantSplit/>
          <w:trHeight w:hRule="exact" w:val="369"/>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10万＜X≤15万</w:t>
            </w:r>
          </w:p>
        </w:tc>
        <w:tc>
          <w:tcPr>
            <w:tcW w:w="270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r w:rsidR="00E10318" w:rsidRPr="00E10318" w:rsidTr="00E10318">
        <w:trPr>
          <w:cantSplit/>
          <w:trHeight w:hRule="exact" w:val="369"/>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15万＜X≤20万</w:t>
            </w:r>
          </w:p>
        </w:tc>
        <w:tc>
          <w:tcPr>
            <w:tcW w:w="270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12%</w:t>
            </w:r>
          </w:p>
        </w:tc>
      </w:tr>
      <w:tr w:rsidR="00E10318" w:rsidRPr="00E10318" w:rsidTr="00E10318">
        <w:trPr>
          <w:cantSplit/>
          <w:trHeight w:hRule="exact" w:val="369"/>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X＞20万</w:t>
            </w:r>
          </w:p>
        </w:tc>
        <w:tc>
          <w:tcPr>
            <w:tcW w:w="270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15%</w:t>
            </w:r>
          </w:p>
        </w:tc>
      </w:tr>
    </w:tbl>
    <w:p w:rsidR="00E10318" w:rsidRPr="00E10318" w:rsidRDefault="00E10318" w:rsidP="00E10318">
      <w:pPr>
        <w:widowControl/>
        <w:spacing w:before="100" w:beforeAutospacing="1" w:after="100" w:afterAutospacing="1"/>
        <w:ind w:leftChars="514" w:left="1079"/>
        <w:jc w:val="left"/>
        <w:rPr>
          <w:rFonts w:ascii="宋体" w:eastAsia="宋体" w:hAnsi="宋体" w:cs="宋体"/>
          <w:kern w:val="0"/>
          <w:sz w:val="24"/>
          <w:szCs w:val="24"/>
        </w:rPr>
      </w:pPr>
      <w:r w:rsidRPr="00E10318">
        <w:rPr>
          <w:rFonts w:ascii="仿宋" w:eastAsia="仿宋" w:hAnsi="仿宋" w:cs="宋体" w:hint="eastAsia"/>
          <w:spacing w:val="8"/>
          <w:kern w:val="0"/>
          <w:sz w:val="24"/>
          <w:szCs w:val="24"/>
        </w:rPr>
        <w:t>注：X表示某一月份合约的双边持仓总量，单位：手。</w:t>
      </w:r>
    </w:p>
    <w:p w:rsidR="00E10318" w:rsidRPr="00E10318" w:rsidRDefault="00E10318" w:rsidP="0036532F">
      <w:pPr>
        <w:widowControl/>
        <w:spacing w:before="100" w:beforeAutospacing="1" w:afterLines="50"/>
        <w:jc w:val="center"/>
        <w:rPr>
          <w:rFonts w:ascii="宋体" w:eastAsia="宋体" w:hAnsi="宋体" w:cs="宋体"/>
          <w:kern w:val="0"/>
          <w:sz w:val="24"/>
          <w:szCs w:val="24"/>
        </w:rPr>
      </w:pPr>
      <w:r w:rsidRPr="00E10318">
        <w:rPr>
          <w:rFonts w:ascii="宋体" w:eastAsia="宋体" w:hAnsi="宋体" w:cs="宋体" w:hint="eastAsia"/>
          <w:spacing w:val="8"/>
          <w:kern w:val="0"/>
          <w:sz w:val="24"/>
          <w:szCs w:val="24"/>
        </w:rPr>
        <w:t> </w:t>
      </w:r>
    </w:p>
    <w:p w:rsidR="00E10318" w:rsidRPr="00E10318" w:rsidRDefault="00E10318" w:rsidP="0036532F">
      <w:pPr>
        <w:widowControl/>
        <w:spacing w:before="100" w:beforeAutospacing="1" w:afterLines="50"/>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表十三</w:t>
      </w:r>
      <w:r w:rsidRPr="00E10318">
        <w:rPr>
          <w:rFonts w:ascii="宋体" w:eastAsia="宋体" w:hAnsi="宋体" w:cs="宋体" w:hint="eastAsia"/>
          <w:b/>
          <w:bCs/>
          <w:spacing w:val="8"/>
          <w:kern w:val="0"/>
          <w:sz w:val="24"/>
          <w:szCs w:val="24"/>
        </w:rPr>
        <w:t> </w:t>
      </w:r>
      <w:r w:rsidRPr="00E10318">
        <w:rPr>
          <w:rFonts w:ascii="仿宋" w:eastAsia="仿宋" w:hAnsi="仿宋" w:cs="仿宋" w:hint="eastAsia"/>
          <w:b/>
          <w:bCs/>
          <w:spacing w:val="8"/>
          <w:kern w:val="0"/>
          <w:sz w:val="24"/>
          <w:szCs w:val="24"/>
        </w:rPr>
        <w:t xml:space="preserve"> </w:t>
      </w:r>
      <w:r w:rsidRPr="00E10318">
        <w:rPr>
          <w:rFonts w:ascii="仿宋" w:eastAsia="仿宋" w:hAnsi="仿宋" w:cs="宋体" w:hint="eastAsia"/>
          <w:b/>
          <w:bCs/>
          <w:spacing w:val="8"/>
          <w:kern w:val="0"/>
          <w:sz w:val="24"/>
          <w:szCs w:val="24"/>
        </w:rPr>
        <w:t>石油沥青期货合约持仓量变化时的交易保证金收取标准</w:t>
      </w:r>
    </w:p>
    <w:tbl>
      <w:tblPr>
        <w:tblW w:w="0" w:type="auto"/>
        <w:tblInd w:w="9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11"/>
        <w:gridCol w:w="2835"/>
      </w:tblGrid>
      <w:tr w:rsidR="00E10318" w:rsidRPr="00E10318" w:rsidTr="00E10318">
        <w:trPr>
          <w:trHeight w:val="832"/>
        </w:trPr>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从合约新上市挂牌之日起，</w:t>
            </w:r>
          </w:p>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当持仓总量（X）达到下列标准时</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石油沥青交易保证金比例</w:t>
            </w:r>
          </w:p>
        </w:tc>
      </w:tr>
      <w:tr w:rsidR="00E10318" w:rsidRPr="00E10318" w:rsidTr="00E10318">
        <w:trPr>
          <w:trHeight w:val="405"/>
        </w:trPr>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X≤30万</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4%</w:t>
            </w:r>
          </w:p>
        </w:tc>
      </w:tr>
      <w:tr w:rsidR="00E10318" w:rsidRPr="00E10318" w:rsidTr="00E10318">
        <w:trPr>
          <w:trHeight w:val="405"/>
        </w:trPr>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30万＜X≤50万</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6%</w:t>
            </w:r>
          </w:p>
        </w:tc>
      </w:tr>
      <w:tr w:rsidR="00E10318" w:rsidRPr="00E10318" w:rsidTr="00E10318">
        <w:trPr>
          <w:trHeight w:val="405"/>
        </w:trPr>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X＞50万</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8%</w:t>
            </w:r>
          </w:p>
        </w:tc>
      </w:tr>
    </w:tbl>
    <w:p w:rsidR="00E10318" w:rsidRPr="00E10318" w:rsidRDefault="00E10318" w:rsidP="00E10318">
      <w:pPr>
        <w:widowControl/>
        <w:spacing w:before="100" w:beforeAutospacing="1" w:after="100" w:afterAutospacing="1"/>
        <w:ind w:leftChars="514" w:left="1079"/>
        <w:jc w:val="left"/>
        <w:rPr>
          <w:rFonts w:ascii="宋体" w:eastAsia="宋体" w:hAnsi="宋体" w:cs="宋体"/>
          <w:kern w:val="0"/>
          <w:sz w:val="24"/>
          <w:szCs w:val="24"/>
        </w:rPr>
      </w:pPr>
      <w:r w:rsidRPr="00E10318">
        <w:rPr>
          <w:rFonts w:ascii="仿宋" w:eastAsia="仿宋" w:hAnsi="仿宋" w:cs="宋体" w:hint="eastAsia"/>
          <w:spacing w:val="8"/>
          <w:kern w:val="0"/>
          <w:sz w:val="24"/>
          <w:szCs w:val="24"/>
        </w:rPr>
        <w:t>注：X表示某一月份合约的双边持仓总量，单位：手。</w:t>
      </w:r>
    </w:p>
    <w:p w:rsidR="00E10318" w:rsidRPr="00E10318" w:rsidRDefault="00E10318" w:rsidP="00E10318">
      <w:pPr>
        <w:widowControl/>
        <w:spacing w:before="100" w:beforeAutospacing="1" w:after="100" w:afterAutospacing="1"/>
        <w:ind w:leftChars="514" w:left="1079"/>
        <w:jc w:val="left"/>
        <w:rPr>
          <w:rFonts w:ascii="宋体" w:eastAsia="宋体" w:hAnsi="宋体" w:cs="宋体"/>
          <w:kern w:val="0"/>
          <w:sz w:val="24"/>
          <w:szCs w:val="24"/>
        </w:rPr>
      </w:pPr>
      <w:r w:rsidRPr="00E10318">
        <w:rPr>
          <w:rFonts w:ascii="宋体" w:eastAsia="宋体" w:hAnsi="宋体" w:cs="宋体" w:hint="eastAsia"/>
          <w:spacing w:val="8"/>
          <w:kern w:val="0"/>
          <w:sz w:val="24"/>
          <w:szCs w:val="24"/>
        </w:rPr>
        <w:t>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lastRenderedPageBreak/>
        <w:t>交易过程中，当某一期货合约持仓量达到某一级持仓总量时（详见表一、二、三、四、五、六、七、八、九、十、十一、十二、十三），暂不调整交易保证金收取标准。当日结算时，若某一期货合约持仓量达到某一级持仓总量，则交易所对该合约全部持仓收取与持仓总量相对应的交易保证金，保证金不足的，应当在下一个交易日开市前追加到位。</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（二）交易所根据期货合约上市运行的不同阶段（临近交割期）调整交易保证金的方法。</w:t>
      </w:r>
    </w:p>
    <w:p w:rsidR="00E10318" w:rsidRPr="00E10318" w:rsidRDefault="00E10318" w:rsidP="0036532F">
      <w:pPr>
        <w:widowControl/>
        <w:spacing w:beforeLines="25" w:afterLines="25"/>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表十四 铜期货合约上市运行不同阶段的交易保证金收取标准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0"/>
        <w:gridCol w:w="4140"/>
      </w:tblGrid>
      <w:tr w:rsidR="00E10318" w:rsidRPr="00E10318" w:rsidTr="00E10318">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454"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铜交易保证金比例</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5%</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15%</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240" w:lineRule="exact"/>
              <w:jc w:val="center"/>
              <w:rPr>
                <w:rFonts w:ascii="宋体" w:eastAsia="宋体" w:hAnsi="宋体" w:cs="宋体"/>
                <w:kern w:val="0"/>
                <w:sz w:val="24"/>
                <w:szCs w:val="24"/>
              </w:rPr>
            </w:pPr>
            <w:r w:rsidRPr="00E10318">
              <w:rPr>
                <w:rFonts w:ascii="仿宋" w:eastAsia="仿宋" w:hAnsi="仿宋" w:cs="宋体" w:hint="eastAsia"/>
                <w:kern w:val="0"/>
                <w:sz w:val="24"/>
                <w:szCs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20%</w:t>
            </w:r>
          </w:p>
        </w:tc>
      </w:tr>
    </w:tbl>
    <w:p w:rsidR="00E10318" w:rsidRPr="00E10318" w:rsidRDefault="00E10318" w:rsidP="0036532F">
      <w:pPr>
        <w:widowControl/>
        <w:spacing w:beforeLines="25" w:afterLines="25"/>
        <w:jc w:val="center"/>
        <w:rPr>
          <w:rFonts w:ascii="宋体" w:eastAsia="宋体" w:hAnsi="宋体" w:cs="宋体"/>
          <w:kern w:val="0"/>
          <w:sz w:val="24"/>
          <w:szCs w:val="24"/>
        </w:rPr>
      </w:pPr>
      <w:r w:rsidRPr="00E10318">
        <w:rPr>
          <w:rFonts w:ascii="宋体" w:eastAsia="宋体" w:hAnsi="宋体" w:cs="宋体" w:hint="eastAsia"/>
          <w:spacing w:val="8"/>
          <w:kern w:val="0"/>
          <w:sz w:val="24"/>
          <w:szCs w:val="24"/>
        </w:rPr>
        <w:t> </w:t>
      </w:r>
    </w:p>
    <w:p w:rsidR="00E10318" w:rsidRPr="00E10318" w:rsidRDefault="00E10318" w:rsidP="0036532F">
      <w:pPr>
        <w:widowControl/>
        <w:spacing w:beforeLines="25" w:afterLines="25"/>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表十五 铝期货合约上市运行不同阶段的交易保证金收取标准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0"/>
        <w:gridCol w:w="4140"/>
      </w:tblGrid>
      <w:tr w:rsidR="00E10318" w:rsidRPr="00E10318" w:rsidTr="00E10318">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454" w:lineRule="auto"/>
              <w:jc w:val="center"/>
              <w:rPr>
                <w:rFonts w:ascii="宋体" w:eastAsia="宋体" w:hAnsi="宋体" w:cs="宋体"/>
                <w:kern w:val="0"/>
                <w:sz w:val="24"/>
                <w:szCs w:val="24"/>
              </w:rPr>
            </w:pPr>
            <w:proofErr w:type="gramStart"/>
            <w:r w:rsidRPr="00E10318">
              <w:rPr>
                <w:rFonts w:ascii="仿宋" w:eastAsia="仿宋" w:hAnsi="仿宋" w:cs="宋体" w:hint="eastAsia"/>
                <w:kern w:val="0"/>
                <w:sz w:val="24"/>
                <w:szCs w:val="24"/>
              </w:rPr>
              <w:t>铝交易</w:t>
            </w:r>
            <w:proofErr w:type="gramEnd"/>
            <w:r w:rsidRPr="00E10318">
              <w:rPr>
                <w:rFonts w:ascii="仿宋" w:eastAsia="仿宋" w:hAnsi="仿宋" w:cs="宋体" w:hint="eastAsia"/>
                <w:kern w:val="0"/>
                <w:sz w:val="24"/>
                <w:szCs w:val="24"/>
              </w:rPr>
              <w:t>保证金比例</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5%</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15%</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20%</w:t>
            </w:r>
          </w:p>
        </w:tc>
      </w:tr>
    </w:tbl>
    <w:p w:rsidR="00E10318" w:rsidRPr="00E10318" w:rsidRDefault="00E10318" w:rsidP="0036532F">
      <w:pPr>
        <w:widowControl/>
        <w:spacing w:beforeLines="50" w:afterLines="50"/>
        <w:jc w:val="center"/>
        <w:rPr>
          <w:rFonts w:ascii="宋体" w:eastAsia="宋体" w:hAnsi="宋体" w:cs="宋体"/>
          <w:kern w:val="0"/>
          <w:sz w:val="24"/>
          <w:szCs w:val="24"/>
        </w:rPr>
      </w:pPr>
      <w:r w:rsidRPr="00E10318">
        <w:rPr>
          <w:rFonts w:ascii="宋体" w:eastAsia="宋体" w:hAnsi="宋体" w:cs="宋体" w:hint="eastAsia"/>
          <w:spacing w:val="8"/>
          <w:kern w:val="0"/>
          <w:sz w:val="24"/>
          <w:szCs w:val="24"/>
        </w:rPr>
        <w:t> </w:t>
      </w:r>
    </w:p>
    <w:p w:rsidR="00E10318" w:rsidRPr="00E10318" w:rsidRDefault="00E10318" w:rsidP="0036532F">
      <w:pPr>
        <w:widowControl/>
        <w:spacing w:beforeLines="25" w:afterLines="25"/>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表十六 锌期货合约上市运行不同阶段的交易保证金收取标准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0"/>
        <w:gridCol w:w="4140"/>
      </w:tblGrid>
      <w:tr w:rsidR="00E10318" w:rsidRPr="00E10318" w:rsidTr="00E10318">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454" w:lineRule="auto"/>
              <w:jc w:val="center"/>
              <w:rPr>
                <w:rFonts w:ascii="宋体" w:eastAsia="宋体" w:hAnsi="宋体" w:cs="宋体"/>
                <w:kern w:val="0"/>
                <w:sz w:val="24"/>
                <w:szCs w:val="24"/>
              </w:rPr>
            </w:pPr>
            <w:proofErr w:type="gramStart"/>
            <w:r w:rsidRPr="00E10318">
              <w:rPr>
                <w:rFonts w:ascii="仿宋" w:eastAsia="仿宋" w:hAnsi="仿宋" w:cs="宋体" w:hint="eastAsia"/>
                <w:kern w:val="0"/>
                <w:sz w:val="24"/>
                <w:szCs w:val="24"/>
              </w:rPr>
              <w:t>锌</w:t>
            </w:r>
            <w:proofErr w:type="gramEnd"/>
            <w:r w:rsidRPr="00E10318">
              <w:rPr>
                <w:rFonts w:ascii="仿宋" w:eastAsia="仿宋" w:hAnsi="仿宋" w:cs="宋体" w:hint="eastAsia"/>
                <w:kern w:val="0"/>
                <w:sz w:val="24"/>
                <w:szCs w:val="24"/>
              </w:rPr>
              <w:t>交易保证金比例</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5%</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15%</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20%</w:t>
            </w:r>
          </w:p>
        </w:tc>
      </w:tr>
    </w:tbl>
    <w:p w:rsidR="00E10318" w:rsidRPr="00E10318" w:rsidRDefault="00E10318" w:rsidP="0036532F">
      <w:pPr>
        <w:widowControl/>
        <w:spacing w:beforeLines="25" w:afterLines="25"/>
        <w:jc w:val="center"/>
        <w:rPr>
          <w:rFonts w:ascii="宋体" w:eastAsia="宋体" w:hAnsi="宋体" w:cs="宋体"/>
          <w:kern w:val="0"/>
          <w:sz w:val="24"/>
          <w:szCs w:val="24"/>
        </w:rPr>
      </w:pPr>
      <w:r w:rsidRPr="00E10318">
        <w:rPr>
          <w:rFonts w:ascii="宋体" w:eastAsia="宋体" w:hAnsi="宋体" w:cs="宋体" w:hint="eastAsia"/>
          <w:spacing w:val="8"/>
          <w:kern w:val="0"/>
          <w:sz w:val="24"/>
          <w:szCs w:val="24"/>
        </w:rPr>
        <w:t> </w:t>
      </w:r>
    </w:p>
    <w:p w:rsidR="00E10318" w:rsidRPr="00E10318" w:rsidRDefault="00E10318" w:rsidP="0036532F">
      <w:pPr>
        <w:widowControl/>
        <w:spacing w:beforeLines="25" w:afterLines="25"/>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表十七 铅期货合约上市运行不同阶段的交易保证金收取标准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0"/>
        <w:gridCol w:w="4140"/>
      </w:tblGrid>
      <w:tr w:rsidR="00E10318" w:rsidRPr="00E10318" w:rsidTr="00E10318">
        <w:trPr>
          <w:cantSplit/>
          <w:trHeight w:hRule="exact" w:val="566"/>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lastRenderedPageBreak/>
              <w:t>交易时间段</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566" w:lineRule="auto"/>
              <w:jc w:val="center"/>
              <w:rPr>
                <w:rFonts w:ascii="宋体" w:eastAsia="宋体" w:hAnsi="宋体" w:cs="宋体"/>
                <w:kern w:val="0"/>
                <w:sz w:val="24"/>
                <w:szCs w:val="24"/>
              </w:rPr>
            </w:pPr>
            <w:proofErr w:type="gramStart"/>
            <w:r w:rsidRPr="00E10318">
              <w:rPr>
                <w:rFonts w:ascii="仿宋" w:eastAsia="仿宋" w:hAnsi="仿宋" w:cs="宋体" w:hint="eastAsia"/>
                <w:kern w:val="0"/>
                <w:sz w:val="24"/>
                <w:szCs w:val="24"/>
              </w:rPr>
              <w:t>铅交易</w:t>
            </w:r>
            <w:proofErr w:type="gramEnd"/>
            <w:r w:rsidRPr="00E10318">
              <w:rPr>
                <w:rFonts w:ascii="仿宋" w:eastAsia="仿宋" w:hAnsi="仿宋" w:cs="宋体" w:hint="eastAsia"/>
                <w:kern w:val="0"/>
                <w:sz w:val="24"/>
                <w:szCs w:val="24"/>
              </w:rPr>
              <w:t>保证金比例</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5%</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15%</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20%</w:t>
            </w:r>
          </w:p>
        </w:tc>
      </w:tr>
    </w:tbl>
    <w:p w:rsidR="00E10318" w:rsidRPr="00E10318" w:rsidRDefault="00E10318" w:rsidP="0036532F">
      <w:pPr>
        <w:widowControl/>
        <w:spacing w:beforeLines="25" w:afterLines="25"/>
        <w:jc w:val="center"/>
        <w:rPr>
          <w:rFonts w:ascii="宋体" w:eastAsia="宋体" w:hAnsi="宋体" w:cs="宋体"/>
          <w:kern w:val="0"/>
          <w:sz w:val="24"/>
          <w:szCs w:val="24"/>
        </w:rPr>
      </w:pPr>
      <w:r w:rsidRPr="00E10318">
        <w:rPr>
          <w:rFonts w:ascii="宋体" w:eastAsia="宋体" w:hAnsi="宋体" w:cs="宋体" w:hint="eastAsia"/>
          <w:strike/>
          <w:spacing w:val="8"/>
          <w:kern w:val="0"/>
          <w:sz w:val="24"/>
          <w:szCs w:val="24"/>
        </w:rPr>
        <w:t> </w:t>
      </w:r>
    </w:p>
    <w:p w:rsidR="00E10318" w:rsidRPr="00E10318" w:rsidRDefault="00E10318" w:rsidP="0036532F">
      <w:pPr>
        <w:widowControl/>
        <w:spacing w:beforeLines="25" w:afterLines="25"/>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表十八 镍期货合约上市运行不同阶段的交易保证金收取标准</w:t>
      </w:r>
    </w:p>
    <w:tbl>
      <w:tblPr>
        <w:tblW w:w="81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60"/>
        <w:gridCol w:w="4140"/>
      </w:tblGrid>
      <w:tr w:rsidR="00E10318" w:rsidRPr="00E10318" w:rsidTr="00E10318">
        <w:trPr>
          <w:cantSplit/>
          <w:trHeight w:hRule="exact" w:val="566"/>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交易时间段</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566" w:lineRule="auto"/>
              <w:jc w:val="center"/>
              <w:rPr>
                <w:rFonts w:ascii="宋体" w:eastAsia="宋体" w:hAnsi="宋体" w:cs="宋体"/>
                <w:kern w:val="0"/>
                <w:sz w:val="24"/>
                <w:szCs w:val="24"/>
              </w:rPr>
            </w:pPr>
            <w:proofErr w:type="gramStart"/>
            <w:r w:rsidRPr="00E10318">
              <w:rPr>
                <w:rFonts w:ascii="仿宋" w:eastAsia="仿宋" w:hAnsi="仿宋" w:cs="宋体" w:hint="eastAsia"/>
                <w:kern w:val="0"/>
                <w:sz w:val="24"/>
                <w:szCs w:val="24"/>
              </w:rPr>
              <w:t>镍交易</w:t>
            </w:r>
            <w:proofErr w:type="gramEnd"/>
            <w:r w:rsidRPr="00E10318">
              <w:rPr>
                <w:rFonts w:ascii="仿宋" w:eastAsia="仿宋" w:hAnsi="仿宋" w:cs="宋体" w:hint="eastAsia"/>
                <w:kern w:val="0"/>
                <w:sz w:val="24"/>
                <w:szCs w:val="24"/>
              </w:rPr>
              <w:t>保证金比例</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合约挂牌之日起</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5%</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交割月份第一个交易日起</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15%</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20%</w:t>
            </w:r>
          </w:p>
        </w:tc>
      </w:tr>
    </w:tbl>
    <w:p w:rsidR="00E10318" w:rsidRPr="00E10318" w:rsidRDefault="00E10318" w:rsidP="0036532F">
      <w:pPr>
        <w:widowControl/>
        <w:spacing w:beforeLines="25" w:afterLines="25"/>
        <w:jc w:val="center"/>
        <w:rPr>
          <w:rFonts w:ascii="宋体" w:eastAsia="宋体" w:hAnsi="宋体" w:cs="宋体"/>
          <w:kern w:val="0"/>
          <w:sz w:val="24"/>
          <w:szCs w:val="24"/>
        </w:rPr>
      </w:pPr>
      <w:r w:rsidRPr="00E10318">
        <w:rPr>
          <w:rFonts w:ascii="宋体" w:eastAsia="宋体" w:hAnsi="宋体" w:cs="宋体" w:hint="eastAsia"/>
          <w:strike/>
          <w:spacing w:val="8"/>
          <w:kern w:val="0"/>
          <w:sz w:val="24"/>
          <w:szCs w:val="24"/>
        </w:rPr>
        <w:t> </w:t>
      </w:r>
    </w:p>
    <w:p w:rsidR="00E10318" w:rsidRPr="00E10318" w:rsidRDefault="00E10318" w:rsidP="0036532F">
      <w:pPr>
        <w:widowControl/>
        <w:spacing w:beforeLines="25" w:afterLines="25"/>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表十九 锡期货合约上市运行不同阶段的交易保证金收取标准</w:t>
      </w:r>
    </w:p>
    <w:tbl>
      <w:tblPr>
        <w:tblW w:w="81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60"/>
        <w:gridCol w:w="4140"/>
      </w:tblGrid>
      <w:tr w:rsidR="00E10318" w:rsidRPr="00E10318" w:rsidTr="00E10318">
        <w:trPr>
          <w:cantSplit/>
          <w:trHeight w:hRule="exact" w:val="566"/>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交易时间段</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566" w:lineRule="auto"/>
              <w:jc w:val="center"/>
              <w:rPr>
                <w:rFonts w:ascii="宋体" w:eastAsia="宋体" w:hAnsi="宋体" w:cs="宋体"/>
                <w:kern w:val="0"/>
                <w:sz w:val="24"/>
                <w:szCs w:val="24"/>
              </w:rPr>
            </w:pPr>
            <w:proofErr w:type="gramStart"/>
            <w:r w:rsidRPr="00E10318">
              <w:rPr>
                <w:rFonts w:ascii="仿宋" w:eastAsia="仿宋" w:hAnsi="仿宋" w:cs="宋体" w:hint="eastAsia"/>
                <w:kern w:val="0"/>
                <w:sz w:val="24"/>
                <w:szCs w:val="24"/>
              </w:rPr>
              <w:t>锡交易</w:t>
            </w:r>
            <w:proofErr w:type="gramEnd"/>
            <w:r w:rsidRPr="00E10318">
              <w:rPr>
                <w:rFonts w:ascii="仿宋" w:eastAsia="仿宋" w:hAnsi="仿宋" w:cs="宋体" w:hint="eastAsia"/>
                <w:kern w:val="0"/>
                <w:sz w:val="24"/>
                <w:szCs w:val="24"/>
              </w:rPr>
              <w:t>保证金比例</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合约挂牌之日起</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5%</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交割月份第一个交易日起</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15%</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20%</w:t>
            </w:r>
          </w:p>
        </w:tc>
      </w:tr>
    </w:tbl>
    <w:p w:rsidR="00E10318" w:rsidRPr="00E10318" w:rsidRDefault="00E10318" w:rsidP="0036532F">
      <w:pPr>
        <w:widowControl/>
        <w:spacing w:beforeLines="25" w:afterLines="25"/>
        <w:jc w:val="center"/>
        <w:rPr>
          <w:rFonts w:ascii="宋体" w:eastAsia="宋体" w:hAnsi="宋体" w:cs="宋体"/>
          <w:kern w:val="0"/>
          <w:sz w:val="24"/>
          <w:szCs w:val="24"/>
        </w:rPr>
      </w:pPr>
      <w:r w:rsidRPr="00E10318">
        <w:rPr>
          <w:rFonts w:ascii="宋体" w:eastAsia="宋体" w:hAnsi="宋体" w:cs="宋体" w:hint="eastAsia"/>
          <w:strike/>
          <w:spacing w:val="8"/>
          <w:kern w:val="0"/>
          <w:sz w:val="24"/>
          <w:szCs w:val="24"/>
        </w:rPr>
        <w:t> </w:t>
      </w:r>
    </w:p>
    <w:p w:rsidR="00E10318" w:rsidRPr="00E10318" w:rsidRDefault="00E10318" w:rsidP="0036532F">
      <w:pPr>
        <w:widowControl/>
        <w:spacing w:beforeLines="25" w:afterLines="25"/>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表二十 螺纹钢期货合约上市运行不同阶段的交易保证金收取标准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0"/>
        <w:gridCol w:w="4140"/>
      </w:tblGrid>
      <w:tr w:rsidR="00E10318" w:rsidRPr="00E10318" w:rsidTr="00E10318">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ind w:firstLineChars="600" w:firstLine="1440"/>
              <w:jc w:val="left"/>
              <w:rPr>
                <w:rFonts w:ascii="宋体" w:eastAsia="宋体" w:hAnsi="宋体" w:cs="宋体"/>
                <w:kern w:val="0"/>
                <w:sz w:val="24"/>
                <w:szCs w:val="24"/>
              </w:rPr>
            </w:pPr>
            <w:r w:rsidRPr="00E10318">
              <w:rPr>
                <w:rFonts w:ascii="仿宋" w:eastAsia="仿宋" w:hAnsi="仿宋" w:cs="宋体" w:hint="eastAsia"/>
                <w:kern w:val="0"/>
                <w:sz w:val="24"/>
                <w:szCs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454"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螺纹钢交易保证金比例</w:t>
            </w:r>
          </w:p>
        </w:tc>
      </w:tr>
      <w:tr w:rsidR="00E10318" w:rsidRPr="00E10318" w:rsidTr="00E10318">
        <w:trPr>
          <w:cantSplit/>
          <w:trHeight w:val="265"/>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5%</w:t>
            </w:r>
          </w:p>
        </w:tc>
      </w:tr>
      <w:tr w:rsidR="00E10318" w:rsidRPr="00E10318" w:rsidTr="00E10318">
        <w:trPr>
          <w:cantSplit/>
          <w:trHeight w:hRule="exact" w:val="332"/>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32"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15%</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20%</w:t>
            </w:r>
          </w:p>
        </w:tc>
      </w:tr>
    </w:tbl>
    <w:p w:rsidR="00E10318" w:rsidRPr="00E10318" w:rsidRDefault="00E10318" w:rsidP="0036532F">
      <w:pPr>
        <w:widowControl/>
        <w:spacing w:beforeLines="25" w:afterLines="25"/>
        <w:jc w:val="center"/>
        <w:rPr>
          <w:rFonts w:ascii="宋体" w:eastAsia="宋体" w:hAnsi="宋体" w:cs="宋体"/>
          <w:kern w:val="0"/>
          <w:sz w:val="24"/>
          <w:szCs w:val="24"/>
        </w:rPr>
      </w:pPr>
      <w:r w:rsidRPr="00E10318">
        <w:rPr>
          <w:rFonts w:ascii="宋体" w:eastAsia="宋体" w:hAnsi="宋体" w:cs="宋体" w:hint="eastAsia"/>
          <w:b/>
          <w:bCs/>
          <w:spacing w:val="8"/>
          <w:kern w:val="0"/>
          <w:sz w:val="24"/>
          <w:szCs w:val="24"/>
        </w:rPr>
        <w:t> </w:t>
      </w:r>
    </w:p>
    <w:p w:rsidR="00E10318" w:rsidRPr="00E10318" w:rsidRDefault="00E10318" w:rsidP="0036532F">
      <w:pPr>
        <w:widowControl/>
        <w:spacing w:beforeLines="25" w:afterLines="25"/>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表二十一 线材期货合约上市运行不同阶段的交易保证金收取标准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0"/>
        <w:gridCol w:w="4140"/>
      </w:tblGrid>
      <w:tr w:rsidR="00E10318" w:rsidRPr="00E10318" w:rsidTr="00E10318">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454"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线材交易保证金比例</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7%</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15%</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20%</w:t>
            </w:r>
          </w:p>
        </w:tc>
      </w:tr>
    </w:tbl>
    <w:p w:rsidR="00E10318" w:rsidRPr="00E10318" w:rsidRDefault="00E10318" w:rsidP="0036532F">
      <w:pPr>
        <w:widowControl/>
        <w:spacing w:beforeLines="50" w:afterLines="50"/>
        <w:jc w:val="center"/>
        <w:rPr>
          <w:rFonts w:ascii="宋体" w:eastAsia="宋体" w:hAnsi="宋体" w:cs="宋体"/>
          <w:kern w:val="0"/>
          <w:sz w:val="24"/>
          <w:szCs w:val="24"/>
        </w:rPr>
      </w:pPr>
      <w:r w:rsidRPr="00E10318">
        <w:rPr>
          <w:rFonts w:ascii="宋体" w:eastAsia="宋体" w:hAnsi="宋体" w:cs="宋体" w:hint="eastAsia"/>
          <w:spacing w:val="8"/>
          <w:kern w:val="0"/>
          <w:sz w:val="24"/>
          <w:szCs w:val="24"/>
        </w:rPr>
        <w:t> </w:t>
      </w:r>
    </w:p>
    <w:p w:rsidR="00E10318" w:rsidRPr="00E10318" w:rsidRDefault="00E10318" w:rsidP="0036532F">
      <w:pPr>
        <w:widowControl/>
        <w:spacing w:beforeLines="50" w:afterLines="50"/>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lastRenderedPageBreak/>
        <w:t>表二十二 热轧卷板期货合约上市运行不同阶段的交易保证金收取标准</w:t>
      </w:r>
    </w:p>
    <w:tbl>
      <w:tblPr>
        <w:tblW w:w="810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0"/>
        <w:gridCol w:w="4140"/>
      </w:tblGrid>
      <w:tr w:rsidR="00E10318" w:rsidRPr="00E10318" w:rsidTr="00E10318">
        <w:trPr>
          <w:cantSplit/>
          <w:trHeight w:val="533"/>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热轧卷板交易保证金比例</w:t>
            </w:r>
          </w:p>
        </w:tc>
      </w:tr>
      <w:tr w:rsidR="00E10318" w:rsidRPr="00E10318" w:rsidTr="00E10318">
        <w:trPr>
          <w:cantSplit/>
          <w:trHeight w:hRule="exact" w:val="47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47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4%</w:t>
            </w:r>
          </w:p>
        </w:tc>
      </w:tr>
      <w:tr w:rsidR="00E10318" w:rsidRPr="00E10318" w:rsidTr="00E10318">
        <w:trPr>
          <w:cantSplit/>
          <w:trHeight w:hRule="exact" w:val="557"/>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557"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r w:rsidR="00E10318" w:rsidRPr="00E10318" w:rsidTr="00E10318">
        <w:trPr>
          <w:cantSplit/>
          <w:trHeight w:hRule="exact" w:val="604"/>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604"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15%</w:t>
            </w:r>
          </w:p>
        </w:tc>
      </w:tr>
      <w:tr w:rsidR="00E10318" w:rsidRPr="00E10318" w:rsidTr="00E10318">
        <w:trPr>
          <w:cantSplit/>
          <w:trHeight w:hRule="exact" w:val="570"/>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570"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20%</w:t>
            </w:r>
          </w:p>
        </w:tc>
      </w:tr>
    </w:tbl>
    <w:p w:rsidR="00E10318" w:rsidRPr="00E10318" w:rsidRDefault="00E10318" w:rsidP="0036532F">
      <w:pPr>
        <w:widowControl/>
        <w:spacing w:beforeLines="50" w:afterLines="50"/>
        <w:jc w:val="center"/>
        <w:rPr>
          <w:rFonts w:ascii="宋体" w:eastAsia="宋体" w:hAnsi="宋体" w:cs="宋体"/>
          <w:kern w:val="0"/>
          <w:sz w:val="24"/>
          <w:szCs w:val="24"/>
        </w:rPr>
      </w:pPr>
      <w:r w:rsidRPr="00E10318">
        <w:rPr>
          <w:rFonts w:ascii="宋体" w:eastAsia="宋体" w:hAnsi="宋体" w:cs="宋体" w:hint="eastAsia"/>
          <w:spacing w:val="8"/>
          <w:kern w:val="0"/>
          <w:sz w:val="24"/>
          <w:szCs w:val="24"/>
        </w:rPr>
        <w:t> </w:t>
      </w:r>
    </w:p>
    <w:p w:rsidR="00E10318" w:rsidRPr="00E10318" w:rsidRDefault="00E10318" w:rsidP="0036532F">
      <w:pPr>
        <w:widowControl/>
        <w:spacing w:beforeLines="25" w:afterLines="25"/>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表二十三 黄金期货合约上市运行不同阶段的交易保证金收取标准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0"/>
        <w:gridCol w:w="4140"/>
      </w:tblGrid>
      <w:tr w:rsidR="00E10318" w:rsidRPr="00E10318" w:rsidTr="00E10318">
        <w:trPr>
          <w:cantSplit/>
          <w:trHeight w:hRule="exact" w:val="454"/>
          <w:jc w:val="center"/>
        </w:trPr>
        <w:tc>
          <w:tcPr>
            <w:tcW w:w="3960" w:type="dxa"/>
            <w:tcBorders>
              <w:top w:val="single" w:sz="8" w:space="0" w:color="auto"/>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454"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交易时间段</w:t>
            </w:r>
          </w:p>
        </w:tc>
        <w:tc>
          <w:tcPr>
            <w:tcW w:w="4140" w:type="dxa"/>
            <w:tcBorders>
              <w:top w:val="single" w:sz="8" w:space="0" w:color="auto"/>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454"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黄金交易保证金比例</w:t>
            </w:r>
          </w:p>
        </w:tc>
      </w:tr>
      <w:tr w:rsidR="00E10318" w:rsidRPr="00E10318" w:rsidTr="00E10318">
        <w:trPr>
          <w:cantSplit/>
          <w:trHeight w:hRule="exact" w:val="369"/>
          <w:jc w:val="center"/>
        </w:trPr>
        <w:tc>
          <w:tcPr>
            <w:tcW w:w="3960"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合约挂牌之日起</w:t>
            </w:r>
          </w:p>
        </w:tc>
        <w:tc>
          <w:tcPr>
            <w:tcW w:w="4140"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4%</w:t>
            </w:r>
          </w:p>
        </w:tc>
      </w:tr>
      <w:tr w:rsidR="00E10318" w:rsidRPr="00E10318" w:rsidTr="00E10318">
        <w:trPr>
          <w:cantSplit/>
          <w:trHeight w:hRule="exact" w:val="369"/>
          <w:jc w:val="center"/>
        </w:trPr>
        <w:tc>
          <w:tcPr>
            <w:tcW w:w="3960"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交割月前第一月的第一个交易日起</w:t>
            </w:r>
          </w:p>
        </w:tc>
        <w:tc>
          <w:tcPr>
            <w:tcW w:w="4140"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r w:rsidR="00E10318" w:rsidRPr="00E10318" w:rsidTr="00E10318">
        <w:trPr>
          <w:cantSplit/>
          <w:trHeight w:hRule="exact" w:val="369"/>
          <w:jc w:val="center"/>
        </w:trPr>
        <w:tc>
          <w:tcPr>
            <w:tcW w:w="3960"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交割月份的第一个交易日起</w:t>
            </w:r>
          </w:p>
        </w:tc>
        <w:tc>
          <w:tcPr>
            <w:tcW w:w="4140"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15%</w:t>
            </w:r>
          </w:p>
        </w:tc>
      </w:tr>
      <w:tr w:rsidR="00E10318" w:rsidRPr="00E10318" w:rsidTr="00E10318">
        <w:trPr>
          <w:cantSplit/>
          <w:trHeight w:hRule="exact" w:val="369"/>
          <w:jc w:val="center"/>
        </w:trPr>
        <w:tc>
          <w:tcPr>
            <w:tcW w:w="3960"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最后交易日前二个交易日起</w:t>
            </w:r>
          </w:p>
        </w:tc>
        <w:tc>
          <w:tcPr>
            <w:tcW w:w="4140"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20%</w:t>
            </w:r>
          </w:p>
        </w:tc>
      </w:tr>
    </w:tbl>
    <w:p w:rsidR="00E10318" w:rsidRPr="00E10318" w:rsidRDefault="00E10318" w:rsidP="0036532F">
      <w:pPr>
        <w:widowControl/>
        <w:spacing w:beforeLines="50" w:afterLines="50"/>
        <w:jc w:val="center"/>
        <w:rPr>
          <w:rFonts w:ascii="宋体" w:eastAsia="宋体" w:hAnsi="宋体" w:cs="宋体"/>
          <w:kern w:val="0"/>
          <w:sz w:val="24"/>
          <w:szCs w:val="24"/>
        </w:rPr>
      </w:pPr>
      <w:r w:rsidRPr="00E10318">
        <w:rPr>
          <w:rFonts w:ascii="宋体" w:eastAsia="宋体" w:hAnsi="宋体" w:cs="宋体" w:hint="eastAsia"/>
          <w:spacing w:val="8"/>
          <w:kern w:val="0"/>
          <w:sz w:val="24"/>
          <w:szCs w:val="24"/>
        </w:rPr>
        <w:t> </w:t>
      </w:r>
    </w:p>
    <w:p w:rsidR="00E10318" w:rsidRPr="00E10318" w:rsidRDefault="00E10318" w:rsidP="0036532F">
      <w:pPr>
        <w:widowControl/>
        <w:spacing w:beforeLines="25" w:afterLines="25"/>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表二十四 白银期货合约上市运行不同阶段的交易保证金收取标准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0"/>
        <w:gridCol w:w="4140"/>
      </w:tblGrid>
      <w:tr w:rsidR="00E10318" w:rsidRPr="00E10318" w:rsidTr="00E10318">
        <w:trPr>
          <w:cantSplit/>
          <w:trHeight w:hRule="exact" w:val="454"/>
          <w:jc w:val="center"/>
        </w:trPr>
        <w:tc>
          <w:tcPr>
            <w:tcW w:w="3960" w:type="dxa"/>
            <w:tcBorders>
              <w:top w:val="single" w:sz="8" w:space="0" w:color="auto"/>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454"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交易时间段</w:t>
            </w:r>
          </w:p>
        </w:tc>
        <w:tc>
          <w:tcPr>
            <w:tcW w:w="4140" w:type="dxa"/>
            <w:tcBorders>
              <w:top w:val="single" w:sz="8" w:space="0" w:color="auto"/>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454"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白银交易保证金比例</w:t>
            </w:r>
          </w:p>
        </w:tc>
      </w:tr>
      <w:tr w:rsidR="00E10318" w:rsidRPr="00E10318" w:rsidTr="00E10318">
        <w:trPr>
          <w:cantSplit/>
          <w:trHeight w:hRule="exact" w:val="369"/>
          <w:jc w:val="center"/>
        </w:trPr>
        <w:tc>
          <w:tcPr>
            <w:tcW w:w="3960"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合约挂牌之日起</w:t>
            </w:r>
          </w:p>
        </w:tc>
        <w:tc>
          <w:tcPr>
            <w:tcW w:w="4140"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4%</w:t>
            </w:r>
          </w:p>
        </w:tc>
      </w:tr>
      <w:tr w:rsidR="00E10318" w:rsidRPr="00E10318" w:rsidTr="00E10318">
        <w:trPr>
          <w:cantSplit/>
          <w:trHeight w:hRule="exact" w:val="369"/>
          <w:jc w:val="center"/>
        </w:trPr>
        <w:tc>
          <w:tcPr>
            <w:tcW w:w="3960"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交割月前第一月的第一个交易日起</w:t>
            </w:r>
          </w:p>
        </w:tc>
        <w:tc>
          <w:tcPr>
            <w:tcW w:w="4140"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r w:rsidR="00E10318" w:rsidRPr="00E10318" w:rsidTr="00E10318">
        <w:trPr>
          <w:cantSplit/>
          <w:trHeight w:hRule="exact" w:val="369"/>
          <w:jc w:val="center"/>
        </w:trPr>
        <w:tc>
          <w:tcPr>
            <w:tcW w:w="3960"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交割月份的第一个交易日起</w:t>
            </w:r>
          </w:p>
        </w:tc>
        <w:tc>
          <w:tcPr>
            <w:tcW w:w="4140"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15%</w:t>
            </w:r>
          </w:p>
        </w:tc>
      </w:tr>
      <w:tr w:rsidR="00E10318" w:rsidRPr="00E10318" w:rsidTr="00E10318">
        <w:trPr>
          <w:cantSplit/>
          <w:trHeight w:hRule="exact" w:val="369"/>
          <w:jc w:val="center"/>
        </w:trPr>
        <w:tc>
          <w:tcPr>
            <w:tcW w:w="3960"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最后交易日前二个交易日起</w:t>
            </w:r>
          </w:p>
        </w:tc>
        <w:tc>
          <w:tcPr>
            <w:tcW w:w="4140"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20%</w:t>
            </w:r>
          </w:p>
        </w:tc>
      </w:tr>
    </w:tbl>
    <w:p w:rsidR="00E10318" w:rsidRPr="00E10318" w:rsidRDefault="00E10318" w:rsidP="0036532F">
      <w:pPr>
        <w:widowControl/>
        <w:spacing w:beforeLines="50" w:afterLines="50"/>
        <w:jc w:val="center"/>
        <w:rPr>
          <w:rFonts w:ascii="宋体" w:eastAsia="宋体" w:hAnsi="宋体" w:cs="宋体"/>
          <w:kern w:val="0"/>
          <w:sz w:val="24"/>
          <w:szCs w:val="24"/>
        </w:rPr>
      </w:pPr>
      <w:r w:rsidRPr="00E10318">
        <w:rPr>
          <w:rFonts w:ascii="宋体" w:eastAsia="宋体" w:hAnsi="宋体" w:cs="宋体" w:hint="eastAsia"/>
          <w:strike/>
          <w:spacing w:val="8"/>
          <w:kern w:val="0"/>
          <w:sz w:val="24"/>
          <w:szCs w:val="24"/>
        </w:rPr>
        <w:t> </w:t>
      </w:r>
    </w:p>
    <w:p w:rsidR="00E10318" w:rsidRPr="00E10318" w:rsidRDefault="00E10318" w:rsidP="0036532F">
      <w:pPr>
        <w:widowControl/>
        <w:spacing w:beforeLines="25" w:afterLines="25"/>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表二十五 天然橡胶期货合约上市运行不同阶段的交易保证金收取标准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0"/>
        <w:gridCol w:w="4140"/>
      </w:tblGrid>
      <w:tr w:rsidR="00E10318" w:rsidRPr="00E10318" w:rsidTr="00E10318">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454"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天然橡胶交易保证金比例</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合约挂牌之日起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5%</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交割月前第一月的第一个交易日起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交割月份第一个交易日起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15%</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20%</w:t>
            </w:r>
          </w:p>
        </w:tc>
      </w:tr>
    </w:tbl>
    <w:p w:rsidR="00E10318" w:rsidRPr="00E10318" w:rsidRDefault="00E10318" w:rsidP="0036532F">
      <w:pPr>
        <w:widowControl/>
        <w:spacing w:beforeLines="50" w:afterLines="50"/>
        <w:jc w:val="center"/>
        <w:rPr>
          <w:rFonts w:ascii="宋体" w:eastAsia="宋体" w:hAnsi="宋体" w:cs="宋体"/>
          <w:kern w:val="0"/>
          <w:sz w:val="24"/>
          <w:szCs w:val="24"/>
        </w:rPr>
      </w:pPr>
      <w:r w:rsidRPr="00E10318">
        <w:rPr>
          <w:rFonts w:ascii="宋体" w:eastAsia="宋体" w:hAnsi="宋体" w:cs="宋体" w:hint="eastAsia"/>
          <w:b/>
          <w:bCs/>
          <w:strike/>
          <w:spacing w:val="8"/>
          <w:kern w:val="0"/>
          <w:sz w:val="24"/>
          <w:szCs w:val="24"/>
        </w:rPr>
        <w:t> </w:t>
      </w:r>
    </w:p>
    <w:p w:rsidR="00E10318" w:rsidRPr="00E10318" w:rsidRDefault="00E10318" w:rsidP="0036532F">
      <w:pPr>
        <w:widowControl/>
        <w:spacing w:beforeLines="25" w:afterLines="25"/>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表二十六 燃料油期货合约上市运行不同阶段的交易保证金收取标准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0"/>
        <w:gridCol w:w="4140"/>
      </w:tblGrid>
      <w:tr w:rsidR="00E10318" w:rsidRPr="00E10318" w:rsidTr="00E10318">
        <w:trPr>
          <w:cantSplit/>
          <w:trHeight w:hRule="exact" w:val="454"/>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交易时间段</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454"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燃料油交易保证金比例</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lastRenderedPageBreak/>
              <w:t>合约挂牌之日起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8%</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交割月前第二月的第十个交易日起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交割月前第一月的第十个交易日起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15%</w:t>
            </w:r>
          </w:p>
        </w:tc>
      </w:tr>
      <w:tr w:rsidR="00E10318" w:rsidRPr="00E10318" w:rsidTr="00E10318">
        <w:trPr>
          <w:cantSplit/>
          <w:trHeight w:hRule="exact" w:val="369"/>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最后交易日前二个交易日起</w:t>
            </w:r>
          </w:p>
        </w:tc>
        <w:tc>
          <w:tcPr>
            <w:tcW w:w="4140"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line="-369"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20%</w:t>
            </w:r>
          </w:p>
        </w:tc>
      </w:tr>
    </w:tbl>
    <w:p w:rsidR="00E10318" w:rsidRPr="00E10318" w:rsidRDefault="00E10318" w:rsidP="0036532F">
      <w:pPr>
        <w:widowControl/>
        <w:spacing w:beforeLines="50" w:afterLines="50"/>
        <w:jc w:val="center"/>
        <w:rPr>
          <w:rFonts w:ascii="宋体" w:eastAsia="宋体" w:hAnsi="宋体" w:cs="宋体"/>
          <w:kern w:val="0"/>
          <w:sz w:val="24"/>
          <w:szCs w:val="24"/>
        </w:rPr>
      </w:pPr>
      <w:r w:rsidRPr="00E10318">
        <w:rPr>
          <w:rFonts w:ascii="宋体" w:eastAsia="宋体" w:hAnsi="宋体" w:cs="宋体" w:hint="eastAsia"/>
          <w:b/>
          <w:bCs/>
          <w:spacing w:val="8"/>
          <w:kern w:val="0"/>
          <w:sz w:val="24"/>
          <w:szCs w:val="24"/>
          <w:shd w:val="clear" w:color="auto" w:fill="C0C0C0"/>
        </w:rPr>
        <w:t> </w:t>
      </w:r>
    </w:p>
    <w:p w:rsidR="00E10318" w:rsidRPr="00E10318" w:rsidRDefault="00E10318" w:rsidP="0036532F">
      <w:pPr>
        <w:widowControl/>
        <w:spacing w:beforeLines="25" w:afterLines="25"/>
        <w:jc w:val="center"/>
        <w:rPr>
          <w:rFonts w:ascii="宋体" w:eastAsia="宋体" w:hAnsi="宋体" w:cs="宋体"/>
          <w:kern w:val="0"/>
          <w:sz w:val="24"/>
          <w:szCs w:val="24"/>
        </w:rPr>
      </w:pPr>
      <w:r w:rsidRPr="00E10318">
        <w:rPr>
          <w:rFonts w:ascii="仿宋" w:eastAsia="仿宋" w:hAnsi="仿宋" w:cs="宋体" w:hint="eastAsia"/>
          <w:b/>
          <w:bCs/>
          <w:spacing w:val="8"/>
          <w:kern w:val="0"/>
          <w:sz w:val="24"/>
          <w:szCs w:val="24"/>
        </w:rPr>
        <w:t>表二十七 石油沥青期货合约上市运行不同阶段的交易保证金收取标准</w:t>
      </w:r>
    </w:p>
    <w:tbl>
      <w:tblPr>
        <w:tblW w:w="8085" w:type="dxa"/>
        <w:tblInd w:w="3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29"/>
        <w:gridCol w:w="4256"/>
      </w:tblGrid>
      <w:tr w:rsidR="00E10318" w:rsidRPr="00E10318" w:rsidTr="00E10318">
        <w:trPr>
          <w:cantSplit/>
          <w:trHeight w:val="533"/>
        </w:trPr>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交易时间段</w:t>
            </w:r>
          </w:p>
        </w:tc>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石油沥青交易保证金比例</w:t>
            </w:r>
          </w:p>
        </w:tc>
      </w:tr>
      <w:tr w:rsidR="00E10318" w:rsidRPr="00E10318" w:rsidTr="00E10318">
        <w:trPr>
          <w:cantSplit/>
          <w:trHeight w:hRule="exact" w:val="390"/>
        </w:trPr>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合约挂牌之日起</w:t>
            </w:r>
          </w:p>
        </w:tc>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390"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4%</w:t>
            </w:r>
          </w:p>
        </w:tc>
      </w:tr>
      <w:tr w:rsidR="00E10318" w:rsidRPr="00E10318" w:rsidTr="00E10318">
        <w:trPr>
          <w:cantSplit/>
          <w:trHeight w:hRule="exact" w:val="397"/>
        </w:trPr>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交割月前第一月的第一个交易日起</w:t>
            </w:r>
          </w:p>
        </w:tc>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397"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r>
      <w:tr w:rsidR="00E10318" w:rsidRPr="00E10318" w:rsidTr="00E10318">
        <w:trPr>
          <w:cantSplit/>
          <w:trHeight w:hRule="exact" w:val="397"/>
        </w:trPr>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交割月份的第一个交易日起</w:t>
            </w:r>
          </w:p>
        </w:tc>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397"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15%</w:t>
            </w:r>
          </w:p>
        </w:tc>
      </w:tr>
      <w:tr w:rsidR="00E10318" w:rsidRPr="00E10318" w:rsidTr="00E10318">
        <w:trPr>
          <w:cantSplit/>
          <w:trHeight w:hRule="exact" w:val="397"/>
        </w:trPr>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最后交易日前二个交易日起</w:t>
            </w:r>
          </w:p>
        </w:tc>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0318" w:rsidRPr="00E10318" w:rsidRDefault="00E10318" w:rsidP="00E10318">
            <w:pPr>
              <w:widowControl/>
              <w:spacing w:before="100" w:beforeAutospacing="1" w:after="100" w:afterAutospacing="1" w:line="-397" w:lineRule="auto"/>
              <w:jc w:val="center"/>
              <w:rPr>
                <w:rFonts w:ascii="宋体" w:eastAsia="宋体" w:hAnsi="宋体" w:cs="宋体"/>
                <w:kern w:val="0"/>
                <w:sz w:val="24"/>
                <w:szCs w:val="24"/>
              </w:rPr>
            </w:pPr>
            <w:r w:rsidRPr="00E10318">
              <w:rPr>
                <w:rFonts w:ascii="仿宋" w:eastAsia="仿宋" w:hAnsi="仿宋" w:cs="宋体" w:hint="eastAsia"/>
                <w:kern w:val="0"/>
                <w:sz w:val="24"/>
                <w:szCs w:val="24"/>
              </w:rPr>
              <w:t>20%</w:t>
            </w:r>
          </w:p>
        </w:tc>
      </w:tr>
    </w:tbl>
    <w:p w:rsidR="00E10318" w:rsidRPr="00E10318" w:rsidRDefault="00E10318" w:rsidP="00E10318">
      <w:pPr>
        <w:widowControl/>
        <w:spacing w:before="100" w:beforeAutospacing="1" w:after="100" w:afterAutospacing="1" w:line="460" w:lineRule="exact"/>
        <w:ind w:firstLineChars="200" w:firstLine="600"/>
        <w:jc w:val="left"/>
        <w:rPr>
          <w:rFonts w:ascii="宋体" w:eastAsia="宋体" w:hAnsi="宋体" w:cs="宋体"/>
          <w:kern w:val="0"/>
          <w:sz w:val="24"/>
          <w:szCs w:val="24"/>
        </w:rPr>
      </w:pPr>
      <w:r w:rsidRPr="00E10318">
        <w:rPr>
          <w:rFonts w:ascii="宋体" w:eastAsia="宋体" w:hAnsi="宋体" w:cs="宋体" w:hint="eastAsia"/>
          <w:kern w:val="0"/>
          <w:sz w:val="30"/>
          <w:szCs w:val="30"/>
        </w:rPr>
        <w:t>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当某一期货合约达到应该调整交易保证金的标准时（详见表十四、十五、十六、十七、十八、十九、二十、二十一、二十二、二十三、二十四、二十五、二十六、二十七），交易所应当在新标准执行前一交易日的结算时对该合约的所有历史持仓按新的交易保证金标准进行结算，保证金不足的，应当在下一个交易日开市前追加到位。</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在进入交割月份后，卖方可以用标准仓单作为与其所示数量相同的交割月份期货合约持仓的履约保证，其持仓对应的交易保证金不再收取。</w:t>
      </w:r>
    </w:p>
    <w:p w:rsidR="00E10318" w:rsidRPr="00E10318" w:rsidRDefault="00E10318" w:rsidP="00E10318">
      <w:pPr>
        <w:widowControl/>
        <w:spacing w:before="100" w:beforeAutospacing="1" w:after="100" w:afterAutospacing="1"/>
        <w:jc w:val="left"/>
        <w:rPr>
          <w:rFonts w:ascii="宋体" w:eastAsia="宋体" w:hAnsi="宋体" w:cs="宋体"/>
          <w:kern w:val="0"/>
          <w:sz w:val="24"/>
          <w:szCs w:val="24"/>
        </w:rPr>
      </w:pPr>
      <w:r w:rsidRPr="00E10318">
        <w:rPr>
          <w:rFonts w:ascii="宋体" w:eastAsia="宋体" w:hAnsi="宋体" w:cs="宋体" w:hint="eastAsia"/>
          <w:kern w:val="0"/>
          <w:sz w:val="24"/>
          <w:szCs w:val="24"/>
        </w:rPr>
        <w:t>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（三）某一期货合约上市运行阶段时间段的划分方法（举例说明）: 如Cu0305，其运行阶段是从2002年5月16日起至2003年5月15日止，其中: 2002年5月16日为该合约新上市挂牌之日、2003年5月15日为最后交易日、2003</w:t>
      </w:r>
      <w:r w:rsidRPr="00E10318">
        <w:rPr>
          <w:rFonts w:ascii="仿宋" w:eastAsia="仿宋" w:hAnsi="仿宋" w:cs="宋体" w:hint="eastAsia"/>
          <w:kern w:val="0"/>
          <w:sz w:val="32"/>
          <w:szCs w:val="32"/>
        </w:rPr>
        <w:lastRenderedPageBreak/>
        <w:t>年5月14日为最后交易日前一个交易日，2003年5月13日为最后交易日前二个交易日，2003年5月为交</w:t>
      </w:r>
      <w:bookmarkEnd w:id="2"/>
      <w:r w:rsidRPr="00E10318">
        <w:rPr>
          <w:rFonts w:ascii="仿宋" w:eastAsia="仿宋" w:hAnsi="仿宋" w:cs="宋体" w:hint="eastAsia"/>
          <w:color w:val="333333"/>
          <w:kern w:val="0"/>
          <w:sz w:val="32"/>
          <w:szCs w:val="32"/>
        </w:rPr>
        <w:t xml:space="preserve">割月份、2003年4月为交割月前第一月、2003年3月为交割月前第二月、2003年2月为交割月前第三月。示意图如下: </w:t>
      </w:r>
      <w:bookmarkEnd w:id="3"/>
    </w:p>
    <w:p w:rsidR="00E10318" w:rsidRPr="00E10318" w:rsidRDefault="00E10318" w:rsidP="00E10318">
      <w:pPr>
        <w:widowControl/>
        <w:spacing w:before="100" w:beforeAutospacing="1" w:after="100" w:afterAutospacing="1"/>
        <w:jc w:val="left"/>
        <w:rPr>
          <w:rFonts w:ascii="宋体" w:eastAsia="宋体" w:hAnsi="宋体" w:cs="宋体"/>
          <w:kern w:val="0"/>
          <w:sz w:val="24"/>
          <w:szCs w:val="24"/>
        </w:rPr>
      </w:pPr>
      <w:r w:rsidRPr="00E10318">
        <w:rPr>
          <w:rFonts w:ascii="宋体" w:eastAsia="宋体" w:hAnsi="宋体" w:cs="宋体" w:hint="eastAsia"/>
          <w:kern w:val="0"/>
          <w:sz w:val="24"/>
          <w:szCs w:val="24"/>
        </w:rPr>
        <w:t> </w:t>
      </w:r>
    </w:p>
    <w:p w:rsidR="00E10318" w:rsidRPr="00E10318" w:rsidRDefault="00E10318" w:rsidP="00E10318">
      <w:pPr>
        <w:widowControl/>
        <w:spacing w:before="100" w:beforeAutospacing="1" w:after="100" w:afterAutospacing="1" w:line="300" w:lineRule="auto"/>
        <w:ind w:left="5250"/>
        <w:jc w:val="left"/>
        <w:rPr>
          <w:rFonts w:ascii="Arial" w:eastAsia="宋体" w:hAnsi="Arial" w:cs="Arial"/>
          <w:kern w:val="0"/>
          <w:sz w:val="24"/>
          <w:szCs w:val="24"/>
        </w:rPr>
      </w:pPr>
      <w:r w:rsidRPr="00E10318">
        <w:rPr>
          <w:rFonts w:ascii="Arial" w:eastAsia="宋体" w:hAnsi="Arial" w:cs="Arial"/>
          <w:kern w:val="0"/>
          <w:sz w:val="24"/>
          <w:szCs w:val="24"/>
        </w:rPr>
        <w:t> </w:t>
      </w:r>
    </w:p>
    <w:p w:rsidR="00E10318" w:rsidRPr="00E10318" w:rsidRDefault="00E10318" w:rsidP="00E10318">
      <w:pPr>
        <w:widowControl/>
        <w:spacing w:before="100" w:beforeAutospacing="1" w:after="100" w:afterAutospacing="1"/>
        <w:jc w:val="left"/>
        <w:rPr>
          <w:rFonts w:ascii="宋体" w:eastAsia="宋体" w:hAnsi="宋体" w:cs="宋体"/>
          <w:kern w:val="0"/>
          <w:sz w:val="24"/>
          <w:szCs w:val="24"/>
        </w:rPr>
      </w:pPr>
      <w:r w:rsidRPr="00E10318">
        <w:rPr>
          <w:rFonts w:ascii="Times New Roman" w:eastAsia="宋体" w:hAnsi="Times New Roman" w:cs="宋体" w:hint="eastAsia"/>
          <w:kern w:val="0"/>
          <w:sz w:val="24"/>
          <w:szCs w:val="24"/>
        </w:rPr>
        <w:t>合约新上市挂牌当月</w:t>
      </w:r>
    </w:p>
    <w:p w:rsidR="00E10318" w:rsidRPr="00E10318" w:rsidRDefault="009212DF" w:rsidP="00E10318">
      <w:pPr>
        <w:widowControl/>
        <w:spacing w:beforeAutospacing="1" w:afterAutospacing="1"/>
        <w:jc w:val="left"/>
        <w:rPr>
          <w:rFonts w:ascii="Arial" w:eastAsia="宋体" w:hAnsi="Arial" w:cs="Arial"/>
          <w:kern w:val="0"/>
          <w:sz w:val="24"/>
          <w:szCs w:val="24"/>
        </w:rPr>
      </w:pPr>
      <w:r w:rsidRPr="009212DF">
        <w:rPr>
          <w:rFonts w:ascii="Arial" w:eastAsia="宋体" w:hAnsi="Arial" w:cs="Arial"/>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5.25pt;height:119.25pt"/>
        </w:pict>
      </w:r>
      <w:r w:rsidR="00E10318" w:rsidRPr="00E10318">
        <w:rPr>
          <w:rFonts w:ascii="宋体" w:eastAsia="宋体" w:hAnsi="宋体" w:cs="宋体" w:hint="eastAsia"/>
          <w:kern w:val="0"/>
          <w:sz w:val="24"/>
          <w:szCs w:val="24"/>
        </w:rPr>
        <w:t> </w:t>
      </w:r>
    </w:p>
    <w:p w:rsidR="00E10318" w:rsidRPr="00E10318" w:rsidRDefault="00E10318" w:rsidP="00E10318">
      <w:pPr>
        <w:widowControl/>
        <w:spacing w:before="100" w:beforeAutospacing="1" w:after="100" w:afterAutospacing="1"/>
        <w:jc w:val="left"/>
        <w:rPr>
          <w:rFonts w:ascii="宋体" w:eastAsia="宋体" w:hAnsi="宋体" w:cs="宋体"/>
          <w:kern w:val="0"/>
          <w:sz w:val="24"/>
          <w:szCs w:val="24"/>
        </w:rPr>
      </w:pPr>
      <w:r w:rsidRPr="00E10318">
        <w:rPr>
          <w:rFonts w:ascii="宋体" w:eastAsia="宋体" w:hAnsi="宋体" w:cs="宋体" w:hint="eastAsia"/>
          <w:kern w:val="0"/>
          <w:sz w:val="24"/>
          <w:szCs w:val="24"/>
        </w:rPr>
        <w:t> </w:t>
      </w:r>
    </w:p>
    <w:tbl>
      <w:tblPr>
        <w:tblW w:w="7020"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4"/>
        <w:gridCol w:w="1404"/>
        <w:gridCol w:w="1404"/>
        <w:gridCol w:w="1404"/>
        <w:gridCol w:w="1404"/>
      </w:tblGrid>
      <w:tr w:rsidR="00E10318" w:rsidRPr="00E10318" w:rsidTr="00E10318">
        <w:trPr>
          <w:cantSplit/>
          <w:trHeight w:val="1084"/>
        </w:trPr>
        <w:tc>
          <w:tcPr>
            <w:tcW w:w="1405" w:type="dxa"/>
            <w:tcBorders>
              <w:top w:val="single" w:sz="4" w:space="0" w:color="auto"/>
              <w:left w:val="nil"/>
              <w:bottom w:val="single" w:sz="4" w:space="0" w:color="auto"/>
              <w:right w:val="single" w:sz="4" w:space="0" w:color="auto"/>
            </w:tcBorders>
            <w:vAlign w:val="bottom"/>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宋体" w:eastAsia="宋体" w:hAnsi="宋体" w:cs="宋体" w:hint="eastAsia"/>
                <w:kern w:val="0"/>
                <w:sz w:val="24"/>
                <w:szCs w:val="21"/>
              </w:rPr>
              <w:t> </w:t>
            </w:r>
          </w:p>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宋体" w:eastAsia="宋体" w:hAnsi="宋体" w:cs="宋体" w:hint="eastAsia"/>
                <w:kern w:val="0"/>
                <w:sz w:val="24"/>
                <w:szCs w:val="21"/>
              </w:rPr>
              <w:t> </w:t>
            </w:r>
          </w:p>
          <w:p w:rsidR="00E10318" w:rsidRPr="00E10318" w:rsidRDefault="00E10318" w:rsidP="00E10318">
            <w:pPr>
              <w:widowControl/>
              <w:spacing w:before="100" w:beforeAutospacing="1" w:after="100" w:afterAutospacing="1"/>
              <w:jc w:val="left"/>
              <w:rPr>
                <w:rFonts w:ascii="宋体" w:eastAsia="宋体" w:hAnsi="宋体" w:cs="宋体"/>
                <w:kern w:val="0"/>
                <w:sz w:val="24"/>
                <w:szCs w:val="24"/>
              </w:rPr>
            </w:pPr>
            <w:r w:rsidRPr="00E10318">
              <w:rPr>
                <w:rFonts w:ascii="宋体" w:eastAsia="宋体" w:hAnsi="宋体" w:cs="宋体" w:hint="eastAsia"/>
                <w:kern w:val="0"/>
                <w:sz w:val="24"/>
                <w:szCs w:val="21"/>
              </w:rPr>
              <w:t> </w:t>
            </w:r>
          </w:p>
          <w:p w:rsidR="00E10318" w:rsidRPr="00E10318" w:rsidRDefault="00E10318" w:rsidP="00E10318">
            <w:pPr>
              <w:widowControl/>
              <w:jc w:val="left"/>
              <w:rPr>
                <w:rFonts w:ascii="Arial" w:eastAsia="宋体" w:hAnsi="Arial" w:cs="Arial"/>
                <w:kern w:val="0"/>
                <w:sz w:val="24"/>
                <w:szCs w:val="24"/>
              </w:rPr>
            </w:pPr>
            <w:r w:rsidRPr="00E10318">
              <w:rPr>
                <w:rFonts w:ascii="Arial" w:eastAsia="宋体" w:hAnsi="Arial" w:cs="Arial"/>
                <w:kern w:val="0"/>
                <w:sz w:val="24"/>
                <w:szCs w:val="24"/>
              </w:rPr>
              <w:br w:type="textWrapping" w:clear="all"/>
            </w:r>
          </w:p>
          <w:p w:rsidR="00E10318" w:rsidRPr="00E10318" w:rsidRDefault="00E10318" w:rsidP="00E10318">
            <w:pPr>
              <w:widowControl/>
              <w:spacing w:before="100" w:beforeAutospacing="1" w:after="100" w:afterAutospacing="1"/>
              <w:jc w:val="left"/>
              <w:rPr>
                <w:rFonts w:ascii="宋体" w:eastAsia="宋体" w:hAnsi="宋体" w:cs="宋体"/>
                <w:kern w:val="0"/>
                <w:sz w:val="24"/>
                <w:szCs w:val="24"/>
              </w:rPr>
            </w:pPr>
            <w:r w:rsidRPr="00E10318">
              <w:rPr>
                <w:rFonts w:ascii="仿宋" w:eastAsia="仿宋" w:hAnsi="仿宋" w:cs="宋体" w:hint="eastAsia"/>
                <w:kern w:val="0"/>
                <w:sz w:val="24"/>
                <w:szCs w:val="21"/>
              </w:rPr>
              <w:t>……</w:t>
            </w:r>
            <w:proofErr w:type="gramStart"/>
            <w:r w:rsidRPr="00E10318">
              <w:rPr>
                <w:rFonts w:ascii="仿宋" w:eastAsia="仿宋" w:hAnsi="仿宋" w:cs="宋体" w:hint="eastAsia"/>
                <w:kern w:val="0"/>
                <w:sz w:val="24"/>
                <w:szCs w:val="21"/>
              </w:rPr>
              <w:t>……</w:t>
            </w:r>
            <w:proofErr w:type="gramEnd"/>
          </w:p>
        </w:tc>
        <w:tc>
          <w:tcPr>
            <w:tcW w:w="1405"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交割月前</w:t>
            </w:r>
          </w:p>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第三月</w:t>
            </w:r>
          </w:p>
        </w:tc>
        <w:tc>
          <w:tcPr>
            <w:tcW w:w="1405"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交割月前</w:t>
            </w:r>
          </w:p>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第二月</w:t>
            </w:r>
          </w:p>
        </w:tc>
        <w:tc>
          <w:tcPr>
            <w:tcW w:w="1405"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交割月前</w:t>
            </w:r>
          </w:p>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第一月</w:t>
            </w:r>
          </w:p>
        </w:tc>
        <w:tc>
          <w:tcPr>
            <w:tcW w:w="1405" w:type="dxa"/>
            <w:tcBorders>
              <w:top w:val="single" w:sz="4" w:space="0" w:color="auto"/>
              <w:left w:val="single" w:sz="4" w:space="0" w:color="auto"/>
              <w:bottom w:val="single" w:sz="4"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交割月份</w:t>
            </w:r>
          </w:p>
        </w:tc>
      </w:tr>
    </w:tbl>
    <w:p w:rsidR="00E10318" w:rsidRPr="00E10318" w:rsidRDefault="00E10318" w:rsidP="00E10318">
      <w:pPr>
        <w:widowControl/>
        <w:spacing w:before="100" w:beforeAutospacing="1" w:after="100" w:afterAutospacing="1" w:line="300" w:lineRule="auto"/>
        <w:jc w:val="center"/>
        <w:rPr>
          <w:rFonts w:ascii="宋体" w:eastAsia="宋体" w:hAnsi="宋体" w:cs="宋体"/>
          <w:kern w:val="0"/>
          <w:sz w:val="24"/>
          <w:szCs w:val="24"/>
        </w:rPr>
      </w:pPr>
      <w:r w:rsidRPr="00E10318">
        <w:rPr>
          <w:rFonts w:ascii="宋体" w:eastAsia="宋体" w:hAnsi="宋体" w:cs="宋体" w:hint="eastAsia"/>
          <w:kern w:val="0"/>
          <w:sz w:val="24"/>
          <w:szCs w:val="24"/>
        </w:rPr>
        <w:t>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宋体" w:eastAsia="宋体" w:hAnsi="宋体" w:cs="宋体" w:hint="eastAsia"/>
          <w:kern w:val="0"/>
          <w:sz w:val="32"/>
          <w:szCs w:val="32"/>
        </w:rPr>
        <w:t>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本办法有关条款时间段的划分方法参照本款执行。</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lastRenderedPageBreak/>
        <w:t>第六条 当某期货合约出现涨跌停板的情况，则该期货合约的交易保证金按第三章的有关规定执行。</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第七条 当某铜、铝、锌、螺纹钢、线材、热轧卷板期货合约连续三个交易日（即D1、D2、D3交易日）的累计涨跌幅（N）达到7.5%; 或连续四个交易日（即D1、D2、D3、D4交易日）的累计涨跌幅（N）达到9%; 或连续五个交易日（即D1、D2、D3、D4、D5 交易日）的累计涨跌幅（N）达到10.5%时，交易所可以根据市场情况，采取单边或双边、同比例或不同比例、部分会员或全部会员提高交易保证金，限制部分会员或全部会员出金，暂停部分会员或全部会员开新仓，调整涨跌停板幅度，限期平仓，强行平仓等措施中的一种或多种措施，但调整后的涨跌停板幅度不超过20%。</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当某铅、镍、锡、黄金期货合约连续三个交易日（即D1、D2、D3交易日）的累计涨跌幅（N）达到10%；或连续四个交易日（即D1、D2、D3、D4交易日）的累计涨跌幅（N）达到12%；或连续五个交易日（即D1、D2、D3、D4、D5交易日）的累计涨跌幅（N）达到14%时，交易所可以根据市场情况，采取单边或双边、同比例或不同比例、部分会员或全部会员提高交易保证金，限制部分会员或全部会员出金，暂停部分会员或全部会员开新仓，调整涨跌停板幅度，限期平仓，强行平仓等措施中的一种或多种措施，但调整后的涨跌停板幅度不超过20%。</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当某天然橡胶、石油沥青期货合约连续三个交易日（即D1、D2、D3 交易日）的累计涨跌幅（N）达到9%; 或连续四个交易日（即D1、D2、D3、D4交易日）的累计涨跌幅（N）</w:t>
      </w:r>
      <w:r w:rsidRPr="00E10318">
        <w:rPr>
          <w:rFonts w:ascii="仿宋" w:eastAsia="仿宋" w:hAnsi="仿宋" w:cs="宋体" w:hint="eastAsia"/>
          <w:kern w:val="0"/>
          <w:sz w:val="32"/>
          <w:szCs w:val="32"/>
        </w:rPr>
        <w:lastRenderedPageBreak/>
        <w:t>达到12%; 或连续五个交易日(即D1、D2、D3、D4、D5交易日）的累计涨跌幅（N）达到13.5%时，交易所可以根据市场情况，采取单边或双边、同比例或不同比例、部分会员或全部会员提高交易保证金，限制部分会员或全部会员出金，暂停部分会员或全部会员开新仓，调整涨跌停板幅度，限期平仓，强行平仓等措施中的一种或多种措施，但调整后的涨跌停板幅度不超过20%。</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当某燃料油、白银期货合约连续三个交易日（即D1、D2、D3 交易日）的累计涨跌幅（N）达到12% ; 或连续四个交易日（即D1、D2、D3、D4交易日）的累计涨跌幅（N）达到14%; 或连续五个交易日（即D1、D2、D3、D4、D5交易日）的累计涨跌幅（N）达到16%时，交易所可以根据市场情况，采取单边或双边、同比例或不同比例、部分会员或全部会员提高交易保证金，限制部分会员或全部会员出金，暂停部分会员或全部会员开新仓，调整涨跌停板幅度，限期平仓，强行平仓等措施中的一种或多种措施，但调整后的涨跌停板幅度不超过20%。</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N 的计算公式:</w:t>
      </w:r>
    </w:p>
    <w:p w:rsidR="00E10318" w:rsidRPr="00E10318" w:rsidRDefault="00E10318" w:rsidP="00E10318">
      <w:pPr>
        <w:widowControl/>
        <w:spacing w:before="100" w:beforeAutospacing="1" w:after="100" w:afterAutospacing="1"/>
        <w:jc w:val="left"/>
        <w:rPr>
          <w:rFonts w:ascii="宋体" w:eastAsia="宋体" w:hAnsi="宋体" w:cs="宋体"/>
          <w:kern w:val="0"/>
          <w:sz w:val="24"/>
          <w:szCs w:val="24"/>
        </w:rPr>
      </w:pPr>
      <w:r w:rsidRPr="00E10318">
        <w:rPr>
          <w:rFonts w:ascii="宋体" w:eastAsia="宋体" w:hAnsi="宋体" w:cs="宋体" w:hint="eastAsia"/>
          <w:kern w:val="0"/>
          <w:sz w:val="24"/>
          <w:szCs w:val="24"/>
        </w:rPr>
        <w:t> </w:t>
      </w:r>
    </w:p>
    <w:p w:rsidR="00E10318" w:rsidRPr="00E10318" w:rsidRDefault="009212DF" w:rsidP="00E10318">
      <w:pPr>
        <w:widowControl/>
        <w:adjustRightInd w:val="0"/>
        <w:spacing w:before="100" w:beforeAutospacing="1" w:after="100" w:afterAutospacing="1" w:line="520" w:lineRule="exact"/>
        <w:ind w:firstLineChars="200" w:firstLine="480"/>
        <w:jc w:val="left"/>
        <w:rPr>
          <w:rFonts w:ascii="宋体" w:eastAsia="宋体" w:hAnsi="宋体" w:cs="宋体"/>
          <w:kern w:val="0"/>
          <w:sz w:val="24"/>
          <w:szCs w:val="24"/>
        </w:rPr>
      </w:pPr>
      <w:r w:rsidRPr="009212DF">
        <w:rPr>
          <w:rFonts w:ascii="仿宋" w:eastAsia="仿宋" w:hAnsi="仿宋" w:cs="宋体"/>
          <w:kern w:val="0"/>
          <w:sz w:val="24"/>
          <w:szCs w:val="24"/>
        </w:rPr>
        <w:pict>
          <v:shape id="_x0000_i1026" type="#_x0000_t75" alt="" style="width:270pt;height:28.5pt"/>
        </w:pict>
      </w:r>
      <w:r w:rsidR="00E10318" w:rsidRPr="00E10318">
        <w:rPr>
          <w:rFonts w:ascii="宋体" w:eastAsia="宋体" w:hAnsi="宋体" w:cs="宋体" w:hint="eastAsia"/>
          <w:kern w:val="0"/>
          <w:sz w:val="32"/>
          <w:szCs w:val="32"/>
        </w:rPr>
        <w:t> </w:t>
      </w:r>
      <w:r w:rsidR="00E10318" w:rsidRPr="00E10318">
        <w:rPr>
          <w:rFonts w:ascii="仿宋" w:eastAsia="仿宋" w:hAnsi="仿宋" w:cs="宋体" w:hint="eastAsia"/>
          <w:i/>
          <w:iCs/>
          <w:kern w:val="0"/>
          <w:sz w:val="32"/>
          <w:szCs w:val="32"/>
        </w:rPr>
        <w:t>t</w:t>
      </w:r>
      <w:r w:rsidR="00E10318" w:rsidRPr="00E10318">
        <w:rPr>
          <w:rFonts w:ascii="仿宋" w:eastAsia="仿宋" w:hAnsi="仿宋" w:cs="宋体" w:hint="eastAsia"/>
          <w:kern w:val="0"/>
          <w:sz w:val="32"/>
          <w:szCs w:val="32"/>
        </w:rPr>
        <w:t xml:space="preserve"> = 3</w:t>
      </w:r>
      <w:proofErr w:type="gramStart"/>
      <w:r w:rsidR="00E10318" w:rsidRPr="00E10318">
        <w:rPr>
          <w:rFonts w:ascii="仿宋" w:eastAsia="仿宋" w:hAnsi="仿宋" w:cs="宋体" w:hint="eastAsia"/>
          <w:kern w:val="0"/>
          <w:sz w:val="32"/>
          <w:szCs w:val="32"/>
        </w:rPr>
        <w:t>,4,5</w:t>
      </w:r>
      <w:proofErr w:type="gramEnd"/>
      <w:r w:rsidR="00E10318" w:rsidRPr="00E10318">
        <w:rPr>
          <w:rFonts w:ascii="仿宋" w:eastAsia="仿宋" w:hAnsi="仿宋" w:cs="宋体" w:hint="eastAsia"/>
          <w:kern w:val="0"/>
          <w:sz w:val="32"/>
          <w:szCs w:val="32"/>
        </w:rPr>
        <w:t xml:space="preserve">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i/>
          <w:iCs/>
          <w:kern w:val="0"/>
          <w:sz w:val="32"/>
          <w:szCs w:val="32"/>
        </w:rPr>
        <w:t>P</w:t>
      </w:r>
      <w:r w:rsidRPr="00E10318">
        <w:rPr>
          <w:rFonts w:ascii="仿宋" w:eastAsia="仿宋" w:hAnsi="仿宋" w:cs="宋体" w:hint="eastAsia"/>
          <w:kern w:val="0"/>
          <w:sz w:val="32"/>
          <w:szCs w:val="32"/>
          <w:vertAlign w:val="subscript"/>
        </w:rPr>
        <w:t xml:space="preserve">0 </w:t>
      </w:r>
      <w:r w:rsidRPr="00E10318">
        <w:rPr>
          <w:rFonts w:ascii="仿宋" w:eastAsia="仿宋" w:hAnsi="仿宋" w:cs="宋体" w:hint="eastAsia"/>
          <w:kern w:val="0"/>
          <w:sz w:val="32"/>
          <w:szCs w:val="32"/>
        </w:rPr>
        <w:t>为</w:t>
      </w:r>
      <w:r w:rsidRPr="00E10318">
        <w:rPr>
          <w:rFonts w:ascii="仿宋" w:eastAsia="仿宋" w:hAnsi="仿宋" w:cs="宋体" w:hint="eastAsia"/>
          <w:i/>
          <w:iCs/>
          <w:kern w:val="0"/>
          <w:sz w:val="32"/>
          <w:szCs w:val="32"/>
        </w:rPr>
        <w:t>D</w:t>
      </w:r>
      <w:r w:rsidRPr="00E10318">
        <w:rPr>
          <w:rFonts w:ascii="仿宋" w:eastAsia="仿宋" w:hAnsi="仿宋" w:cs="宋体" w:hint="eastAsia"/>
          <w:kern w:val="0"/>
          <w:position w:val="-6"/>
          <w:sz w:val="32"/>
          <w:szCs w:val="32"/>
          <w:vertAlign w:val="subscript"/>
        </w:rPr>
        <w:t xml:space="preserve">1 </w:t>
      </w:r>
      <w:r w:rsidRPr="00E10318">
        <w:rPr>
          <w:rFonts w:ascii="仿宋" w:eastAsia="仿宋" w:hAnsi="仿宋" w:cs="宋体" w:hint="eastAsia"/>
          <w:kern w:val="0"/>
          <w:sz w:val="32"/>
          <w:szCs w:val="32"/>
        </w:rPr>
        <w:t>交易日前一交易日结算价</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i/>
          <w:iCs/>
          <w:kern w:val="0"/>
          <w:sz w:val="32"/>
          <w:szCs w:val="32"/>
        </w:rPr>
        <w:t>P</w:t>
      </w:r>
      <w:r w:rsidRPr="00E10318">
        <w:rPr>
          <w:rFonts w:ascii="仿宋" w:eastAsia="仿宋" w:hAnsi="仿宋" w:cs="宋体" w:hint="eastAsia"/>
          <w:kern w:val="0"/>
          <w:sz w:val="32"/>
          <w:szCs w:val="32"/>
          <w:vertAlign w:val="subscript"/>
        </w:rPr>
        <w:t xml:space="preserve">t </w:t>
      </w:r>
      <w:r w:rsidRPr="00E10318">
        <w:rPr>
          <w:rFonts w:ascii="仿宋" w:eastAsia="仿宋" w:hAnsi="仿宋" w:cs="宋体" w:hint="eastAsia"/>
          <w:kern w:val="0"/>
          <w:sz w:val="32"/>
          <w:szCs w:val="32"/>
        </w:rPr>
        <w:t>为</w:t>
      </w:r>
      <w:r w:rsidRPr="00E10318">
        <w:rPr>
          <w:rFonts w:ascii="仿宋" w:eastAsia="仿宋" w:hAnsi="仿宋" w:cs="宋体" w:hint="eastAsia"/>
          <w:i/>
          <w:iCs/>
          <w:kern w:val="0"/>
          <w:sz w:val="32"/>
          <w:szCs w:val="32"/>
        </w:rPr>
        <w:t>t</w:t>
      </w:r>
      <w:r w:rsidRPr="00E10318">
        <w:rPr>
          <w:rFonts w:ascii="仿宋" w:eastAsia="仿宋" w:hAnsi="仿宋" w:cs="宋体" w:hint="eastAsia"/>
          <w:kern w:val="0"/>
          <w:sz w:val="32"/>
          <w:szCs w:val="32"/>
        </w:rPr>
        <w:t>交易日结算价，</w:t>
      </w:r>
      <w:r w:rsidRPr="00E10318">
        <w:rPr>
          <w:rFonts w:ascii="仿宋" w:eastAsia="仿宋" w:hAnsi="仿宋" w:cs="宋体" w:hint="eastAsia"/>
          <w:i/>
          <w:iCs/>
          <w:kern w:val="0"/>
          <w:sz w:val="32"/>
          <w:szCs w:val="32"/>
        </w:rPr>
        <w:t>t</w:t>
      </w:r>
      <w:r w:rsidRPr="00E10318">
        <w:rPr>
          <w:rFonts w:ascii="仿宋" w:eastAsia="仿宋" w:hAnsi="仿宋" w:cs="宋体" w:hint="eastAsia"/>
          <w:kern w:val="0"/>
          <w:sz w:val="32"/>
          <w:szCs w:val="32"/>
        </w:rPr>
        <w:t xml:space="preserve">= 3，4，5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i/>
          <w:iCs/>
          <w:kern w:val="0"/>
          <w:sz w:val="32"/>
          <w:szCs w:val="32"/>
        </w:rPr>
        <w:t>P</w:t>
      </w:r>
      <w:r w:rsidRPr="00E10318">
        <w:rPr>
          <w:rFonts w:ascii="仿宋" w:eastAsia="仿宋" w:hAnsi="仿宋" w:cs="宋体" w:hint="eastAsia"/>
          <w:kern w:val="0"/>
          <w:sz w:val="32"/>
          <w:szCs w:val="32"/>
          <w:vertAlign w:val="subscript"/>
        </w:rPr>
        <w:t xml:space="preserve">3 </w:t>
      </w:r>
      <w:r w:rsidRPr="00E10318">
        <w:rPr>
          <w:rFonts w:ascii="仿宋" w:eastAsia="仿宋" w:hAnsi="仿宋" w:cs="宋体" w:hint="eastAsia"/>
          <w:kern w:val="0"/>
          <w:sz w:val="32"/>
          <w:szCs w:val="32"/>
        </w:rPr>
        <w:t>为</w:t>
      </w:r>
      <w:r w:rsidRPr="00E10318">
        <w:rPr>
          <w:rFonts w:ascii="仿宋" w:eastAsia="仿宋" w:hAnsi="仿宋" w:cs="宋体" w:hint="eastAsia"/>
          <w:i/>
          <w:iCs/>
          <w:kern w:val="0"/>
          <w:sz w:val="32"/>
          <w:szCs w:val="32"/>
        </w:rPr>
        <w:t>D</w:t>
      </w:r>
      <w:r w:rsidRPr="00E10318">
        <w:rPr>
          <w:rFonts w:ascii="仿宋" w:eastAsia="仿宋" w:hAnsi="仿宋" w:cs="宋体" w:hint="eastAsia"/>
          <w:kern w:val="0"/>
          <w:position w:val="-6"/>
          <w:sz w:val="32"/>
          <w:szCs w:val="32"/>
          <w:vertAlign w:val="subscript"/>
        </w:rPr>
        <w:t xml:space="preserve">3 </w:t>
      </w:r>
      <w:r w:rsidRPr="00E10318">
        <w:rPr>
          <w:rFonts w:ascii="仿宋" w:eastAsia="仿宋" w:hAnsi="仿宋" w:cs="宋体" w:hint="eastAsia"/>
          <w:kern w:val="0"/>
          <w:sz w:val="32"/>
          <w:szCs w:val="32"/>
        </w:rPr>
        <w:t>交易日结算价</w:t>
      </w:r>
      <w:r w:rsidRPr="00E10318">
        <w:rPr>
          <w:rFonts w:ascii="宋体" w:eastAsia="宋体" w:hAnsi="宋体" w:cs="宋体" w:hint="eastAsia"/>
          <w:kern w:val="0"/>
          <w:sz w:val="32"/>
          <w:szCs w:val="32"/>
        </w:rPr>
        <w:t> </w:t>
      </w:r>
      <w:r w:rsidRPr="00E10318">
        <w:rPr>
          <w:rFonts w:ascii="仿宋" w:eastAsia="仿宋" w:hAnsi="仿宋" w:cs="仿宋" w:hint="eastAsia"/>
          <w:kern w:val="0"/>
          <w:sz w:val="32"/>
          <w:szCs w:val="32"/>
        </w:rPr>
        <w:t xml:space="preserve">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i/>
          <w:iCs/>
          <w:kern w:val="0"/>
          <w:sz w:val="32"/>
          <w:szCs w:val="32"/>
        </w:rPr>
        <w:lastRenderedPageBreak/>
        <w:t>P</w:t>
      </w:r>
      <w:r w:rsidRPr="00E10318">
        <w:rPr>
          <w:rFonts w:ascii="仿宋" w:eastAsia="仿宋" w:hAnsi="仿宋" w:cs="宋体" w:hint="eastAsia"/>
          <w:kern w:val="0"/>
          <w:sz w:val="32"/>
          <w:szCs w:val="32"/>
          <w:vertAlign w:val="subscript"/>
        </w:rPr>
        <w:t xml:space="preserve">4 </w:t>
      </w:r>
      <w:r w:rsidRPr="00E10318">
        <w:rPr>
          <w:rFonts w:ascii="仿宋" w:eastAsia="仿宋" w:hAnsi="仿宋" w:cs="宋体" w:hint="eastAsia"/>
          <w:kern w:val="0"/>
          <w:sz w:val="32"/>
          <w:szCs w:val="32"/>
        </w:rPr>
        <w:t>为</w:t>
      </w:r>
      <w:r w:rsidRPr="00E10318">
        <w:rPr>
          <w:rFonts w:ascii="仿宋" w:eastAsia="仿宋" w:hAnsi="仿宋" w:cs="宋体" w:hint="eastAsia"/>
          <w:i/>
          <w:iCs/>
          <w:kern w:val="0"/>
          <w:sz w:val="32"/>
          <w:szCs w:val="32"/>
        </w:rPr>
        <w:t>D</w:t>
      </w:r>
      <w:r w:rsidRPr="00E10318">
        <w:rPr>
          <w:rFonts w:ascii="仿宋" w:eastAsia="仿宋" w:hAnsi="仿宋" w:cs="宋体" w:hint="eastAsia"/>
          <w:kern w:val="0"/>
          <w:position w:val="-6"/>
          <w:sz w:val="32"/>
          <w:szCs w:val="32"/>
          <w:vertAlign w:val="subscript"/>
        </w:rPr>
        <w:t xml:space="preserve">4 </w:t>
      </w:r>
      <w:r w:rsidRPr="00E10318">
        <w:rPr>
          <w:rFonts w:ascii="仿宋" w:eastAsia="仿宋" w:hAnsi="仿宋" w:cs="宋体" w:hint="eastAsia"/>
          <w:kern w:val="0"/>
          <w:sz w:val="32"/>
          <w:szCs w:val="32"/>
        </w:rPr>
        <w:t>交易日结算价</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i/>
          <w:iCs/>
          <w:kern w:val="0"/>
          <w:sz w:val="32"/>
          <w:szCs w:val="32"/>
        </w:rPr>
        <w:t>P</w:t>
      </w:r>
      <w:r w:rsidRPr="00E10318">
        <w:rPr>
          <w:rFonts w:ascii="仿宋" w:eastAsia="仿宋" w:hAnsi="仿宋" w:cs="宋体" w:hint="eastAsia"/>
          <w:kern w:val="0"/>
          <w:sz w:val="32"/>
          <w:szCs w:val="32"/>
          <w:vertAlign w:val="subscript"/>
        </w:rPr>
        <w:t xml:space="preserve">5 </w:t>
      </w:r>
      <w:r w:rsidRPr="00E10318">
        <w:rPr>
          <w:rFonts w:ascii="仿宋" w:eastAsia="仿宋" w:hAnsi="仿宋" w:cs="宋体" w:hint="eastAsia"/>
          <w:kern w:val="0"/>
          <w:sz w:val="32"/>
          <w:szCs w:val="32"/>
        </w:rPr>
        <w:t>为</w:t>
      </w:r>
      <w:r w:rsidRPr="00E10318">
        <w:rPr>
          <w:rFonts w:ascii="仿宋" w:eastAsia="仿宋" w:hAnsi="仿宋" w:cs="宋体" w:hint="eastAsia"/>
          <w:i/>
          <w:iCs/>
          <w:kern w:val="0"/>
          <w:sz w:val="32"/>
          <w:szCs w:val="32"/>
        </w:rPr>
        <w:t>D</w:t>
      </w:r>
      <w:r w:rsidRPr="00E10318">
        <w:rPr>
          <w:rFonts w:ascii="仿宋" w:eastAsia="仿宋" w:hAnsi="仿宋" w:cs="宋体" w:hint="eastAsia"/>
          <w:kern w:val="0"/>
          <w:position w:val="-6"/>
          <w:sz w:val="32"/>
          <w:szCs w:val="32"/>
          <w:vertAlign w:val="subscript"/>
        </w:rPr>
        <w:t>5</w:t>
      </w:r>
      <w:r w:rsidRPr="00E10318">
        <w:rPr>
          <w:rFonts w:ascii="仿宋" w:eastAsia="仿宋" w:hAnsi="仿宋" w:cs="宋体" w:hint="eastAsia"/>
          <w:kern w:val="0"/>
          <w:sz w:val="32"/>
          <w:szCs w:val="32"/>
        </w:rPr>
        <w:t>交易日结算价</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交易所采取本条规定措施的，应当事先报告中国证监会。</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第八条 对同时适用本办法规定的两种或两种以上交易保证金比例的，其交易保证金按照规定交易保证金比例中的最高值收取。</w:t>
      </w:r>
    </w:p>
    <w:p w:rsidR="00E10318" w:rsidRPr="00E10318" w:rsidRDefault="00E10318" w:rsidP="00E10318">
      <w:pPr>
        <w:widowControl/>
        <w:spacing w:before="100" w:beforeAutospacing="1" w:after="100" w:afterAutospacing="1"/>
        <w:jc w:val="left"/>
        <w:rPr>
          <w:rFonts w:ascii="宋体" w:eastAsia="宋体" w:hAnsi="宋体" w:cs="宋体"/>
          <w:kern w:val="0"/>
          <w:sz w:val="24"/>
          <w:szCs w:val="24"/>
        </w:rPr>
      </w:pPr>
      <w:r w:rsidRPr="00E10318">
        <w:rPr>
          <w:rFonts w:ascii="宋体" w:eastAsia="宋体" w:hAnsi="宋体" w:cs="宋体" w:hint="eastAsia"/>
          <w:kern w:val="0"/>
          <w:sz w:val="24"/>
          <w:szCs w:val="24"/>
        </w:rPr>
        <w:t> </w:t>
      </w:r>
    </w:p>
    <w:p w:rsidR="00E10318" w:rsidRPr="00E10318" w:rsidRDefault="00E10318" w:rsidP="00E10318">
      <w:pPr>
        <w:widowControl/>
        <w:adjustRightInd w:val="0"/>
        <w:spacing w:before="100" w:beforeAutospacing="1" w:after="100" w:afterAutospacing="1" w:line="520" w:lineRule="exact"/>
        <w:jc w:val="center"/>
        <w:rPr>
          <w:rFonts w:ascii="宋体" w:eastAsia="宋体" w:hAnsi="宋体" w:cs="宋体"/>
          <w:kern w:val="0"/>
          <w:sz w:val="24"/>
          <w:szCs w:val="24"/>
        </w:rPr>
      </w:pPr>
      <w:r w:rsidRPr="00E10318">
        <w:rPr>
          <w:rFonts w:ascii="仿宋" w:eastAsia="仿宋" w:hAnsi="仿宋" w:cs="宋体" w:hint="eastAsia"/>
          <w:b/>
          <w:bCs/>
          <w:kern w:val="0"/>
          <w:sz w:val="32"/>
          <w:szCs w:val="32"/>
        </w:rPr>
        <w:t>第三章 涨跌停板制度</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第九条 交易所实行价格涨跌停板制度，由交易所制定各上市期货合约的每日最大价格波动幅度。</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在某一期货合约的交易过程中，当出现下列情况时，交易所可以根据市场风险调整其涨跌停板幅度:</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（一）期货合约价格出现同方向连续涨跌停板时;</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（二）遇国家法定长假时;</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（三）交易所认为市场风险明显变化时;</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（四）交易所认为必要的其他情况。</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交易所根据市场情况决定调整涨跌停板幅度的，应当公告，并报告中国证监会。</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对同时适用本办法规定的两种或两种以上涨跌停板的，其涨跌停板按照规定涨跌停板中的最高值确定。</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lastRenderedPageBreak/>
        <w:t>第十条 当某期货合约以涨跌停板价格成交时，成交撮合实行平仓优先和时间优先的原则，但平当日新开</w:t>
      </w:r>
      <w:proofErr w:type="gramStart"/>
      <w:r w:rsidRPr="00E10318">
        <w:rPr>
          <w:rFonts w:ascii="仿宋" w:eastAsia="仿宋" w:hAnsi="仿宋" w:cs="宋体" w:hint="eastAsia"/>
          <w:kern w:val="0"/>
          <w:sz w:val="32"/>
          <w:szCs w:val="32"/>
        </w:rPr>
        <w:t>仓位</w:t>
      </w:r>
      <w:proofErr w:type="gramEnd"/>
      <w:r w:rsidRPr="00E10318">
        <w:rPr>
          <w:rFonts w:ascii="仿宋" w:eastAsia="仿宋" w:hAnsi="仿宋" w:cs="宋体" w:hint="eastAsia"/>
          <w:kern w:val="0"/>
          <w:sz w:val="32"/>
          <w:szCs w:val="32"/>
        </w:rPr>
        <w:t>不适用平仓优先的原则。</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第十一条 涨（跌）停板单边无连续报价（以下简称单边市）是指某一期货合约在某一交易日收盘前5分钟内出现只有停板价位的买入（卖出）申报、没有停板价位的卖出（买入）申报，或者一有卖出（买入）申报就成交、但未打开停板价位的情况。连续的两个交易日出现同一方向的涨（跌）停板单边无连续报价情况，称为同方向单边市; 在出现单边市之后的下一个交易日出现反方向的涨（跌）停板单边无连续报价情况，则称为反方向单边市。</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第十二条 当某期货合约在某一交易日（该交易日称为D1交易日，以下几个交易日分别称为D2、D3、D4、D5、D6交易日，D0交易日为D1交易日前一交易日）出现单边市，则该期货合约D2交易日涨跌停板幅度按下述方法调整：铜、铝、锌、铅、镍、锡、螺纹钢、线材、热轧卷板、黄金、白银、天然橡胶、燃料油和石油沥青期货合约的涨跌停板幅度为在D1交易日涨跌停板幅度的基础上增加3个百分点。D1交易日结算时，该期货合约交易保证金比例按下述方法调整：铜、铝、锌、铅、镍、锡、螺纹钢、线材、热轧卷板、黄金、白银、天然橡胶、燃料油和石油沥青期货合约的交易保证金比例为在D2交易日涨跌停板幅度的基础上增加2个百分点。如果该期货合约调整后的交易保证金比例低于D0交易日结算时的交易保证金比例，则按D0交易日结算时该期货合约交易保证金比例收取。</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lastRenderedPageBreak/>
        <w:t>若D1交易日为该期货合约上市挂盘后第一个交易日，则该期货合约上市挂盘当日交易保证金比例视为该期货合约D0交易日结算时的交易保证金比例。</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 xml:space="preserve">第十三条 该期货合约若D2交易日未出现单边市，则D3交易日涨跌停板、交易保证金比例恢复到正常水平。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 xml:space="preserve">若D2交易日出现反方向单边市，则视作新一轮单边市开始，该日即视为D1交易日，下一日交易保证金和涨跌停板参照本办法第十二条规定执行。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若D2交易日出现同方向单边市，则该期货合约D3交易日涨跌停板幅度按下述方法调整：铜、铝、锌、铅、镍、锡、螺纹钢、线材、热轧卷板、黄金、天然橡胶、燃料油和石油沥青期货合约的涨跌停板幅度为在D1交易日涨跌停板幅度的基础上增加5个百分点，白银期货合约的涨跌停板幅度为在D1交易日涨跌停板幅度的基础上增加6个百分点。D2交易日结算时，该期货合约交易保证金比例按下述方法调整：铜、铝、锌、铅、镍、锡、螺纹钢、线材、热轧卷板、黄金、天然橡胶、燃料油和石油沥青期货合约的交易保证金比例为在D3交易日涨跌停板幅度上增加2个百分点，白银期货合约的交易保证金比例为在D3交易日涨跌停板幅度上增加3个百分点。如果该期货合约调整后的交易保证金比例低于D0交易日结算时交易保证金比例，则按D0交易日结算时该期货合约的交易保证金比例收取。</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 xml:space="preserve">第十四条 若D3交易日未出现单边市，则D4交易日涨跌停板、交易保证金比例恢复到正常水平。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lastRenderedPageBreak/>
        <w:t xml:space="preserve">若D3交易日出现反方向单边市，则视作新一轮单边市开始，该日即视为D1交易日，下一日交易保证金和涨跌停板参照本办法第十二条规定执行。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若D3交易日期货合约出现同方向单边市（即连续三天达到涨跌停板），则当日收盘结算时，该铜、铝、锌、铅、镍、锡、螺纹钢、线材、热轧卷板、黄金、白银、天然橡胶、燃料油和石油沥青期货合约的交易保证金仍按照D2交易日结算时的交易保证金比例收取，并且交易所可以对部分或全部会员暂停出金。</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当D3交易日期货合约出现同方向单边市（即连续三天达到涨跌停板）时，若D3交易日是该合约的最后交易日，则该合约直接进入交割；若D4交易日是该合约的最后交易日，则D4交易日该合约按D3交易日的涨跌停板和保证金水平继续交易；除上述两种情况之外，D4交易日该期货合约暂停交易一天。交易所在D4交易</w:t>
      </w:r>
      <w:proofErr w:type="gramStart"/>
      <w:r w:rsidRPr="00E10318">
        <w:rPr>
          <w:rFonts w:ascii="仿宋" w:eastAsia="仿宋" w:hAnsi="仿宋" w:cs="宋体" w:hint="eastAsia"/>
          <w:kern w:val="0"/>
          <w:sz w:val="32"/>
          <w:szCs w:val="32"/>
        </w:rPr>
        <w:t>日根据</w:t>
      </w:r>
      <w:proofErr w:type="gramEnd"/>
      <w:r w:rsidRPr="00E10318">
        <w:rPr>
          <w:rFonts w:ascii="仿宋" w:eastAsia="仿宋" w:hAnsi="仿宋" w:cs="宋体" w:hint="eastAsia"/>
          <w:kern w:val="0"/>
          <w:sz w:val="32"/>
          <w:szCs w:val="32"/>
        </w:rPr>
        <w:t>市场情况决定对该期货合约实施下列两种措施中的任意一种：</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措施</w:t>
      </w:r>
      <w:proofErr w:type="gramStart"/>
      <w:r w:rsidRPr="00E10318">
        <w:rPr>
          <w:rFonts w:ascii="仿宋" w:eastAsia="仿宋" w:hAnsi="仿宋" w:cs="宋体" w:hint="eastAsia"/>
          <w:kern w:val="0"/>
          <w:sz w:val="32"/>
          <w:szCs w:val="32"/>
        </w:rPr>
        <w:t>一</w:t>
      </w:r>
      <w:proofErr w:type="gramEnd"/>
      <w:r w:rsidRPr="00E10318">
        <w:rPr>
          <w:rFonts w:ascii="仿宋" w:eastAsia="仿宋" w:hAnsi="仿宋" w:cs="宋体" w:hint="eastAsia"/>
          <w:kern w:val="0"/>
          <w:sz w:val="32"/>
          <w:szCs w:val="32"/>
        </w:rPr>
        <w:t>：D4交易日，交易所决定并公告在D5交易日采取单边或双边、同比例或不同比例、部分会员或全部会员提高交易保证金，暂停部分会员或全部会员开新仓，调整涨跌停板幅度，限制出金，限期平仓，强行平仓等措施中的一种或多种化解市场风险，但调整后的涨跌停板幅度不超过20%。在交易所宣布调整保证金水平之后，保证金不足者应当在D5交易日开市前追加到位。若D5交易日该期货合约的涨跌幅度未达到当日涨跌停板，则D6交易日该期货合约的涨跌停板和交易保证金比例均恢复正常水平；若D5交易日该期货</w:t>
      </w:r>
      <w:r w:rsidRPr="00E10318">
        <w:rPr>
          <w:rFonts w:ascii="仿宋" w:eastAsia="仿宋" w:hAnsi="仿宋" w:cs="宋体" w:hint="eastAsia"/>
          <w:kern w:val="0"/>
          <w:sz w:val="32"/>
          <w:szCs w:val="32"/>
        </w:rPr>
        <w:lastRenderedPageBreak/>
        <w:t>合约的涨跌幅度与D3交易日同方向再达到当日涨跌停板，则交易所宣布为异常情况，并按有关规定采取风险控制措施；若D5交易日该期货合约的涨跌幅度与D3交易日反方向达到当日涨跌停板，则视作新一轮单边市开始，该日即视为D1交易日，下一日交易保证金和涨跌停板参照本办法第十二条规定执行。</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措施二：在D4交易日结算时，交易所将D3交易日闭市时以涨跌停板价申报的未成交平仓报单，以D3交易日的涨跌停板价，与该合约净持仓盈利客户（或非期货公司会员，下同）按持仓比例自动撮合成交。同一</w:t>
      </w:r>
      <w:r w:rsidRPr="00E10318">
        <w:rPr>
          <w:rFonts w:ascii="仿宋" w:eastAsia="仿宋" w:hAnsi="仿宋" w:cs="宋体" w:hint="eastAsia"/>
          <w:bCs/>
          <w:kern w:val="0"/>
          <w:sz w:val="32"/>
          <w:szCs w:val="21"/>
        </w:rPr>
        <w:t>客户持有双向头寸，则首先平自己的头寸，再按上述方法平仓。具体操作方法如下：</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（一）申报平仓数量的确定</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在D3交易日收市后，已在计算机系统中以涨跌停板价申报无法成交的，且</w:t>
      </w:r>
      <w:r w:rsidRPr="00E10318">
        <w:rPr>
          <w:rFonts w:ascii="仿宋" w:eastAsia="仿宋" w:hAnsi="仿宋" w:cs="宋体" w:hint="eastAsia"/>
          <w:bCs/>
          <w:kern w:val="0"/>
          <w:sz w:val="32"/>
          <w:szCs w:val="21"/>
        </w:rPr>
        <w:t>客户该</w:t>
      </w:r>
      <w:r w:rsidRPr="00E10318">
        <w:rPr>
          <w:rFonts w:ascii="仿宋" w:eastAsia="仿宋" w:hAnsi="仿宋" w:cs="宋体" w:hint="eastAsia"/>
          <w:kern w:val="0"/>
          <w:sz w:val="32"/>
          <w:szCs w:val="32"/>
        </w:rPr>
        <w:t>合约的单位净持仓亏损大于或等于D3交易日结算价6%（天然橡胶、燃料油和石油沥青为8%）的所有申报平仓数量的总和为平仓数量。若</w:t>
      </w:r>
      <w:r w:rsidRPr="00E10318">
        <w:rPr>
          <w:rFonts w:ascii="仿宋" w:eastAsia="仿宋" w:hAnsi="仿宋" w:cs="宋体" w:hint="eastAsia"/>
          <w:bCs/>
          <w:kern w:val="0"/>
          <w:sz w:val="32"/>
          <w:szCs w:val="21"/>
        </w:rPr>
        <w:t>客户不愿按上述方法平仓可以在收市前撤单，则已撤报单不再作为申报的平仓报单。</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（二）</w:t>
      </w:r>
      <w:r w:rsidRPr="00E10318">
        <w:rPr>
          <w:rFonts w:ascii="仿宋" w:eastAsia="仿宋" w:hAnsi="仿宋" w:cs="宋体" w:hint="eastAsia"/>
          <w:bCs/>
          <w:kern w:val="0"/>
          <w:sz w:val="32"/>
          <w:szCs w:val="21"/>
        </w:rPr>
        <w:t>客户</w:t>
      </w:r>
      <w:r w:rsidRPr="00E10318">
        <w:rPr>
          <w:rFonts w:ascii="仿宋" w:eastAsia="仿宋" w:hAnsi="仿宋" w:cs="宋体" w:hint="eastAsia"/>
          <w:kern w:val="0"/>
          <w:sz w:val="32"/>
          <w:szCs w:val="32"/>
        </w:rPr>
        <w:t>单位净持仓盈亏的计算方法</w:t>
      </w:r>
    </w:p>
    <w:p w:rsidR="00E10318" w:rsidRPr="00E10318" w:rsidRDefault="00E10318" w:rsidP="00E10318">
      <w:pPr>
        <w:widowControl/>
        <w:spacing w:before="100" w:beforeAutospacing="1" w:after="100" w:afterAutospacing="1"/>
        <w:ind w:firstLineChars="1600" w:firstLine="3840"/>
        <w:jc w:val="left"/>
        <w:rPr>
          <w:rFonts w:ascii="宋体" w:eastAsia="宋体" w:hAnsi="宋体" w:cs="宋体"/>
          <w:kern w:val="0"/>
          <w:sz w:val="24"/>
          <w:szCs w:val="24"/>
        </w:rPr>
      </w:pPr>
      <w:r w:rsidRPr="00E10318">
        <w:rPr>
          <w:rFonts w:ascii="仿宋" w:eastAsia="仿宋" w:hAnsi="仿宋" w:cs="宋体" w:hint="eastAsia"/>
          <w:bCs/>
          <w:kern w:val="0"/>
          <w:sz w:val="24"/>
          <w:szCs w:val="21"/>
        </w:rPr>
        <w:t>客户该合约净持仓盈亏的总和（元）</w:t>
      </w:r>
    </w:p>
    <w:p w:rsidR="00E10318" w:rsidRPr="00E10318" w:rsidRDefault="00E10318" w:rsidP="00E10318">
      <w:pPr>
        <w:widowControl/>
        <w:spacing w:before="100" w:beforeAutospacing="1" w:after="100" w:afterAutospacing="1"/>
        <w:jc w:val="left"/>
        <w:rPr>
          <w:rFonts w:ascii="宋体" w:eastAsia="宋体" w:hAnsi="宋体" w:cs="宋体"/>
          <w:kern w:val="0"/>
          <w:sz w:val="24"/>
          <w:szCs w:val="24"/>
        </w:rPr>
      </w:pPr>
      <w:r w:rsidRPr="00E10318">
        <w:rPr>
          <w:rFonts w:ascii="仿宋" w:eastAsia="仿宋" w:hAnsi="仿宋" w:cs="宋体" w:hint="eastAsia"/>
          <w:bCs/>
          <w:kern w:val="0"/>
          <w:sz w:val="24"/>
          <w:szCs w:val="21"/>
        </w:rPr>
        <w:t xml:space="preserve">客户该合约单位净持仓盈亏 = </w:t>
      </w:r>
      <w:r w:rsidRPr="00E10318">
        <w:rPr>
          <w:rFonts w:ascii="宋体" w:eastAsia="宋体" w:hAnsi="宋体" w:cs="宋体" w:hint="eastAsia"/>
          <w:bCs/>
          <w:strike/>
          <w:kern w:val="0"/>
          <w:sz w:val="24"/>
          <w:szCs w:val="21"/>
        </w:rPr>
        <w:t>                                        </w:t>
      </w:r>
    </w:p>
    <w:p w:rsidR="00E10318" w:rsidRPr="00E10318" w:rsidRDefault="00E10318" w:rsidP="00E10318">
      <w:pPr>
        <w:widowControl/>
        <w:spacing w:before="100" w:beforeAutospacing="1" w:after="100" w:afterAutospacing="1"/>
        <w:ind w:firstLineChars="1600" w:firstLine="3840"/>
        <w:jc w:val="left"/>
        <w:rPr>
          <w:rFonts w:ascii="宋体" w:eastAsia="宋体" w:hAnsi="宋体" w:cs="宋体"/>
          <w:kern w:val="0"/>
          <w:sz w:val="24"/>
          <w:szCs w:val="24"/>
        </w:rPr>
      </w:pPr>
      <w:r w:rsidRPr="00E10318">
        <w:rPr>
          <w:rFonts w:ascii="仿宋" w:eastAsia="仿宋" w:hAnsi="仿宋" w:cs="宋体" w:hint="eastAsia"/>
          <w:bCs/>
          <w:kern w:val="0"/>
          <w:sz w:val="24"/>
          <w:szCs w:val="21"/>
        </w:rPr>
        <w:t>客户该合约的净持仓量（重量单位）</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lastRenderedPageBreak/>
        <w:t>上式中铜、铝、锌、铅、镍、锡、螺纹钢、线材、热轧卷板、天然橡胶、燃料油和石油沥青的重量单位为吨，白银的重量单位为千克，黄金的重量单位为克。</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bCs/>
          <w:kern w:val="0"/>
          <w:sz w:val="32"/>
          <w:szCs w:val="21"/>
        </w:rPr>
        <w:t>客户该合约净持仓盈亏的总和，是指在客户该合约的历史成交库中从当日向前找出累计符合当日净持仓数的开仓合约的实际成交价与当日结算价之差的总和。</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（三）持仓盈利</w:t>
      </w:r>
      <w:r w:rsidRPr="00E10318">
        <w:rPr>
          <w:rFonts w:ascii="仿宋" w:eastAsia="仿宋" w:hAnsi="仿宋" w:cs="宋体" w:hint="eastAsia"/>
          <w:bCs/>
          <w:kern w:val="0"/>
          <w:sz w:val="32"/>
          <w:szCs w:val="21"/>
        </w:rPr>
        <w:t>客户平仓范围的确定</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根据上述方法计算的</w:t>
      </w:r>
      <w:r w:rsidRPr="00E10318">
        <w:rPr>
          <w:rFonts w:ascii="仿宋" w:eastAsia="仿宋" w:hAnsi="仿宋" w:cs="宋体" w:hint="eastAsia"/>
          <w:bCs/>
          <w:kern w:val="0"/>
          <w:sz w:val="32"/>
          <w:szCs w:val="21"/>
        </w:rPr>
        <w:t>客户单位净持仓盈利的投机头寸以及客户单位净持仓盈利大于或等于</w:t>
      </w:r>
      <w:r w:rsidRPr="00E10318">
        <w:rPr>
          <w:rFonts w:ascii="仿宋" w:eastAsia="仿宋" w:hAnsi="仿宋" w:cs="宋体" w:hint="eastAsia"/>
          <w:kern w:val="0"/>
          <w:sz w:val="32"/>
          <w:szCs w:val="32"/>
        </w:rPr>
        <w:t>D3交易日结算价6%（天然橡胶、燃料油和石油沥青为8%）的保值头寸都列入平仓范围。</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（四）平仓数量的分配原则及方法</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1、平仓数量的分配原则</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（1）在平仓范围内按盈利的大小和投机与保值的不同分成四级，逐级进行分配。</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首先分配给属平仓范围内单位净持仓盈利大于或等于D3交易日结算价6%（天然橡胶、燃料油和石油沥青为8%）的投机头寸（以下铜、铝、锌、铅、镍、锡、螺纹钢、线材、热轧卷板、黄金、白银简称盈利6%以上的投机头寸，天然橡胶、燃料油和石油沥青简称盈利8%以上的投机头寸）；</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其次分配给单位净持仓盈利大于或等于D3交易日结算价3%（天然橡胶、燃料油和石油沥青为4%），小于6%（天</w:t>
      </w:r>
      <w:r w:rsidRPr="00E10318">
        <w:rPr>
          <w:rFonts w:ascii="仿宋" w:eastAsia="仿宋" w:hAnsi="仿宋" w:cs="宋体" w:hint="eastAsia"/>
          <w:kern w:val="0"/>
          <w:sz w:val="32"/>
          <w:szCs w:val="32"/>
        </w:rPr>
        <w:lastRenderedPageBreak/>
        <w:t>然橡胶、燃料油和石油沥青为8%）的投机头寸（以下铜、铝、锌、铅、</w:t>
      </w:r>
      <w:r w:rsidRPr="00E10318">
        <w:rPr>
          <w:rFonts w:ascii="仿宋" w:eastAsia="仿宋" w:hAnsi="仿宋" w:cs="宋体" w:hint="eastAsia"/>
          <w:color w:val="333333"/>
          <w:kern w:val="0"/>
          <w:sz w:val="32"/>
          <w:szCs w:val="32"/>
        </w:rPr>
        <w:t>镍、锡、</w:t>
      </w:r>
      <w:bookmarkEnd w:id="4"/>
      <w:r w:rsidRPr="00E10318">
        <w:rPr>
          <w:rFonts w:ascii="仿宋" w:eastAsia="仿宋" w:hAnsi="仿宋" w:cs="宋体" w:hint="eastAsia"/>
          <w:kern w:val="0"/>
          <w:sz w:val="32"/>
          <w:szCs w:val="32"/>
        </w:rPr>
        <w:t>螺纹钢、线材、热轧卷板、黄金、白银简称盈利3%以上的投机头寸，天然橡胶、燃料油和石油沥青简称盈利4%以上的投机头寸）；</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再次分配给单位净持仓盈利小于D3交易日结算价3%（天然橡胶、燃料油和石油沥青为4%）的投机头寸（以下铜、铝、锌、铅、镍、锡、螺纹钢、线材、热轧卷板、黄金、白银简称盈利3%以下的投机头寸，天然橡胶、燃料油和石油沥青简称盈利4%以下的投机头寸）；</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最后分配给单位净持仓盈利大于或等于D3交易日结算价6%（天然橡胶、燃料油和石油沥青为8%）的保值头寸（以下铜、铝、锌、铅、镍、锡、螺纹钢、线材、热轧卷板、黄金、白银简称盈利6%以上的保值头寸，天然橡胶、燃料油和石油沥青简称盈利8%以上的保值头寸）。</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（2）以上各级分配比例均按申报平仓数量（剩余申报平仓数量）与各级可平仓的盈利头寸数量之比进行分配。</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2、平仓数量的分配方法及步骤（见附件）</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（1）铜、铝、锌、铅、镍、锡、螺纹钢、线材、热轧卷板、黄金、白银品种平仓数量的分配方法及步骤</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若盈利6%以上的投机头寸数量大于或等于申报平仓数量，则根据申报平仓数量与盈利6%以上的投机头寸数量的比例，将申报平仓数量向盈利6%以上的投机</w:t>
      </w:r>
      <w:r w:rsidRPr="00E10318">
        <w:rPr>
          <w:rFonts w:ascii="仿宋" w:eastAsia="仿宋" w:hAnsi="仿宋" w:cs="宋体" w:hint="eastAsia"/>
          <w:bCs/>
          <w:kern w:val="0"/>
          <w:sz w:val="32"/>
          <w:szCs w:val="21"/>
        </w:rPr>
        <w:t>客户分配</w:t>
      </w:r>
      <w:proofErr w:type="gramStart"/>
      <w:r w:rsidRPr="00E10318">
        <w:rPr>
          <w:rFonts w:ascii="仿宋" w:eastAsia="仿宋" w:hAnsi="仿宋" w:cs="宋体" w:hint="eastAsia"/>
          <w:bCs/>
          <w:kern w:val="0"/>
          <w:sz w:val="32"/>
          <w:szCs w:val="21"/>
        </w:rPr>
        <w:t>实际平仓</w:t>
      </w:r>
      <w:proofErr w:type="gramEnd"/>
      <w:r w:rsidRPr="00E10318">
        <w:rPr>
          <w:rFonts w:ascii="仿宋" w:eastAsia="仿宋" w:hAnsi="仿宋" w:cs="宋体" w:hint="eastAsia"/>
          <w:bCs/>
          <w:kern w:val="0"/>
          <w:sz w:val="32"/>
          <w:szCs w:val="21"/>
        </w:rPr>
        <w:t>数量；</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lastRenderedPageBreak/>
        <w:t>若盈利6%以上的投机头寸数量小于申报平仓数量，则根据盈利6%以上的投机头寸数量与申报平仓数量的比例，将盈利6%以上投机头寸数量向申报平仓</w:t>
      </w:r>
      <w:r w:rsidRPr="00E10318">
        <w:rPr>
          <w:rFonts w:ascii="仿宋" w:eastAsia="仿宋" w:hAnsi="仿宋" w:cs="宋体" w:hint="eastAsia"/>
          <w:bCs/>
          <w:kern w:val="0"/>
          <w:sz w:val="32"/>
          <w:szCs w:val="21"/>
        </w:rPr>
        <w:t>客户分配</w:t>
      </w:r>
      <w:proofErr w:type="gramStart"/>
      <w:r w:rsidRPr="00E10318">
        <w:rPr>
          <w:rFonts w:ascii="仿宋" w:eastAsia="仿宋" w:hAnsi="仿宋" w:cs="宋体" w:hint="eastAsia"/>
          <w:bCs/>
          <w:kern w:val="0"/>
          <w:sz w:val="32"/>
          <w:szCs w:val="21"/>
        </w:rPr>
        <w:t>实际平仓</w:t>
      </w:r>
      <w:proofErr w:type="gramEnd"/>
      <w:r w:rsidRPr="00E10318">
        <w:rPr>
          <w:rFonts w:ascii="仿宋" w:eastAsia="仿宋" w:hAnsi="仿宋" w:cs="宋体" w:hint="eastAsia"/>
          <w:bCs/>
          <w:kern w:val="0"/>
          <w:sz w:val="32"/>
          <w:szCs w:val="21"/>
        </w:rPr>
        <w:t>数量。再把剩余的申报平仓数量按上述的分配方法向盈利3%以上的投机头寸分配；若还有剩余，则再向盈利3%以下的投机头寸分配；若还有剩余，则再向盈利6%</w:t>
      </w:r>
      <w:r w:rsidRPr="00E10318">
        <w:rPr>
          <w:rFonts w:ascii="仿宋" w:eastAsia="仿宋" w:hAnsi="仿宋" w:cs="宋体" w:hint="eastAsia"/>
          <w:kern w:val="0"/>
          <w:sz w:val="32"/>
          <w:szCs w:val="32"/>
        </w:rPr>
        <w:t>以上的保值头寸分配。若还有剩余则</w:t>
      </w:r>
      <w:proofErr w:type="gramStart"/>
      <w:r w:rsidRPr="00E10318">
        <w:rPr>
          <w:rFonts w:ascii="仿宋" w:eastAsia="仿宋" w:hAnsi="仿宋" w:cs="宋体" w:hint="eastAsia"/>
          <w:kern w:val="0"/>
          <w:sz w:val="32"/>
          <w:szCs w:val="32"/>
        </w:rPr>
        <w:t>不</w:t>
      </w:r>
      <w:proofErr w:type="gramEnd"/>
      <w:r w:rsidRPr="00E10318">
        <w:rPr>
          <w:rFonts w:ascii="仿宋" w:eastAsia="仿宋" w:hAnsi="仿宋" w:cs="宋体" w:hint="eastAsia"/>
          <w:kern w:val="0"/>
          <w:sz w:val="32"/>
          <w:szCs w:val="32"/>
        </w:rPr>
        <w:t>再分配。</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（2）天然橡胶、燃料油和石油沥青品种平仓数量的分配方法及步骤</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若盈利8%以上的投机头寸数量大于或等于申报平仓数量，则根据申报平仓数量与盈利8%以上的投机头寸数量的比例，将申报平仓数量向盈利8%以上的投机</w:t>
      </w:r>
      <w:r w:rsidRPr="00E10318">
        <w:rPr>
          <w:rFonts w:ascii="仿宋" w:eastAsia="仿宋" w:hAnsi="仿宋" w:cs="宋体" w:hint="eastAsia"/>
          <w:bCs/>
          <w:kern w:val="0"/>
          <w:sz w:val="32"/>
          <w:szCs w:val="21"/>
        </w:rPr>
        <w:t>客户分配</w:t>
      </w:r>
      <w:proofErr w:type="gramStart"/>
      <w:r w:rsidRPr="00E10318">
        <w:rPr>
          <w:rFonts w:ascii="仿宋" w:eastAsia="仿宋" w:hAnsi="仿宋" w:cs="宋体" w:hint="eastAsia"/>
          <w:bCs/>
          <w:kern w:val="0"/>
          <w:sz w:val="32"/>
          <w:szCs w:val="21"/>
        </w:rPr>
        <w:t>实际平仓</w:t>
      </w:r>
      <w:proofErr w:type="gramEnd"/>
      <w:r w:rsidRPr="00E10318">
        <w:rPr>
          <w:rFonts w:ascii="仿宋" w:eastAsia="仿宋" w:hAnsi="仿宋" w:cs="宋体" w:hint="eastAsia"/>
          <w:bCs/>
          <w:kern w:val="0"/>
          <w:sz w:val="32"/>
          <w:szCs w:val="21"/>
        </w:rPr>
        <w:t>数量；</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若盈利8%以上的投机头寸数量小于申报平仓数量，则根据盈利8%以上的投机头寸数量与申报平仓数量的比例，将盈利8%以上投机头寸数量向申报平仓</w:t>
      </w:r>
      <w:r w:rsidRPr="00E10318">
        <w:rPr>
          <w:rFonts w:ascii="仿宋" w:eastAsia="仿宋" w:hAnsi="仿宋" w:cs="宋体" w:hint="eastAsia"/>
          <w:bCs/>
          <w:kern w:val="0"/>
          <w:sz w:val="32"/>
          <w:szCs w:val="21"/>
        </w:rPr>
        <w:t>客户分配</w:t>
      </w:r>
      <w:proofErr w:type="gramStart"/>
      <w:r w:rsidRPr="00E10318">
        <w:rPr>
          <w:rFonts w:ascii="仿宋" w:eastAsia="仿宋" w:hAnsi="仿宋" w:cs="宋体" w:hint="eastAsia"/>
          <w:bCs/>
          <w:kern w:val="0"/>
          <w:sz w:val="32"/>
          <w:szCs w:val="21"/>
        </w:rPr>
        <w:t>实际平仓</w:t>
      </w:r>
      <w:proofErr w:type="gramEnd"/>
      <w:r w:rsidRPr="00E10318">
        <w:rPr>
          <w:rFonts w:ascii="仿宋" w:eastAsia="仿宋" w:hAnsi="仿宋" w:cs="宋体" w:hint="eastAsia"/>
          <w:bCs/>
          <w:kern w:val="0"/>
          <w:sz w:val="32"/>
          <w:szCs w:val="21"/>
        </w:rPr>
        <w:t>数量。再把剩余的申报平仓数量按上述的分配方法向盈利4%以上的投机头寸分配；若还有剩余，则再向盈利4%以下的投机头寸分配；若还有剩余，则再向盈利8%以上的保值头寸分配。若还有剩余则</w:t>
      </w:r>
      <w:proofErr w:type="gramStart"/>
      <w:r w:rsidRPr="00E10318">
        <w:rPr>
          <w:rFonts w:ascii="仿宋" w:eastAsia="仿宋" w:hAnsi="仿宋" w:cs="宋体" w:hint="eastAsia"/>
          <w:bCs/>
          <w:kern w:val="0"/>
          <w:sz w:val="32"/>
          <w:szCs w:val="21"/>
        </w:rPr>
        <w:t>不</w:t>
      </w:r>
      <w:proofErr w:type="gramEnd"/>
      <w:r w:rsidRPr="00E10318">
        <w:rPr>
          <w:rFonts w:ascii="仿宋" w:eastAsia="仿宋" w:hAnsi="仿宋" w:cs="宋体" w:hint="eastAsia"/>
          <w:bCs/>
          <w:kern w:val="0"/>
          <w:sz w:val="32"/>
          <w:szCs w:val="21"/>
        </w:rPr>
        <w:t>再分配。</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（五）平仓数量尾数的处理方法</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首先对每个</w:t>
      </w:r>
      <w:r w:rsidRPr="00E10318">
        <w:rPr>
          <w:rFonts w:ascii="仿宋" w:eastAsia="仿宋" w:hAnsi="仿宋" w:cs="宋体" w:hint="eastAsia"/>
          <w:bCs/>
          <w:kern w:val="0"/>
          <w:sz w:val="32"/>
          <w:szCs w:val="21"/>
        </w:rPr>
        <w:t>客户</w:t>
      </w:r>
      <w:r w:rsidRPr="00E10318">
        <w:rPr>
          <w:rFonts w:ascii="仿宋" w:eastAsia="仿宋" w:hAnsi="仿宋" w:cs="宋体" w:hint="eastAsia"/>
          <w:kern w:val="0"/>
          <w:sz w:val="32"/>
          <w:szCs w:val="32"/>
        </w:rPr>
        <w:t>编码所分配到的平仓数量的整数部分分配后再按照小数部分由大到小的顺序进行排序，然后按照</w:t>
      </w:r>
      <w:r w:rsidRPr="00E10318">
        <w:rPr>
          <w:rFonts w:ascii="仿宋" w:eastAsia="仿宋" w:hAnsi="仿宋" w:cs="宋体" w:hint="eastAsia"/>
          <w:kern w:val="0"/>
          <w:sz w:val="32"/>
          <w:szCs w:val="32"/>
        </w:rPr>
        <w:lastRenderedPageBreak/>
        <w:t>该排序的顺序进行分配，每个</w:t>
      </w:r>
      <w:r w:rsidRPr="00E10318">
        <w:rPr>
          <w:rFonts w:ascii="仿宋" w:eastAsia="仿宋" w:hAnsi="仿宋" w:cs="宋体" w:hint="eastAsia"/>
          <w:bCs/>
          <w:kern w:val="0"/>
          <w:sz w:val="32"/>
          <w:szCs w:val="21"/>
        </w:rPr>
        <w:t>客户编码1手；对于小数部分相同的客户，如果分配数量不足，则随机进行分配。</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采取措施二之后，</w:t>
      </w:r>
      <w:proofErr w:type="gramStart"/>
      <w:r w:rsidRPr="00E10318">
        <w:rPr>
          <w:rFonts w:ascii="仿宋" w:eastAsia="仿宋" w:hAnsi="仿宋" w:cs="宋体" w:hint="eastAsia"/>
          <w:kern w:val="0"/>
          <w:sz w:val="32"/>
          <w:szCs w:val="32"/>
        </w:rPr>
        <w:t>若风险</w:t>
      </w:r>
      <w:proofErr w:type="gramEnd"/>
      <w:r w:rsidRPr="00E10318">
        <w:rPr>
          <w:rFonts w:ascii="仿宋" w:eastAsia="仿宋" w:hAnsi="仿宋" w:cs="宋体" w:hint="eastAsia"/>
          <w:kern w:val="0"/>
          <w:sz w:val="32"/>
          <w:szCs w:val="32"/>
        </w:rPr>
        <w:t>化解，则下一个交易日的涨跌停板和交易保证金比例均恢复正常水平；若还未化解风险，交易所则宣布为异常情况，并按有关规定采取风险控制措施。</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因采取措施二平仓造成的经济损失由会员及其</w:t>
      </w:r>
      <w:r w:rsidRPr="00E10318">
        <w:rPr>
          <w:rFonts w:ascii="仿宋" w:eastAsia="仿宋" w:hAnsi="仿宋" w:cs="FZDaBiaoSong-B06S" w:hint="eastAsia"/>
          <w:bCs/>
          <w:kern w:val="0"/>
          <w:sz w:val="32"/>
          <w:szCs w:val="24"/>
        </w:rPr>
        <w:t>客户承担。</w:t>
      </w:r>
    </w:p>
    <w:p w:rsidR="00E10318" w:rsidRPr="00E10318" w:rsidRDefault="00E10318" w:rsidP="00E10318">
      <w:pPr>
        <w:widowControl/>
        <w:spacing w:before="100" w:beforeAutospacing="1" w:after="100" w:afterAutospacing="1"/>
        <w:jc w:val="left"/>
        <w:rPr>
          <w:rFonts w:ascii="宋体" w:eastAsia="宋体" w:hAnsi="宋体" w:cs="宋体"/>
          <w:kern w:val="0"/>
          <w:sz w:val="24"/>
          <w:szCs w:val="24"/>
        </w:rPr>
      </w:pPr>
      <w:r w:rsidRPr="00E10318">
        <w:rPr>
          <w:rFonts w:ascii="宋体" w:eastAsia="宋体" w:hAnsi="宋体" w:cs="宋体" w:hint="eastAsia"/>
          <w:kern w:val="0"/>
          <w:sz w:val="24"/>
          <w:szCs w:val="24"/>
        </w:rPr>
        <w:t> </w:t>
      </w:r>
    </w:p>
    <w:p w:rsidR="00E10318" w:rsidRPr="00E10318" w:rsidRDefault="00E10318" w:rsidP="00E10318">
      <w:pPr>
        <w:widowControl/>
        <w:adjustRightInd w:val="0"/>
        <w:spacing w:before="100" w:beforeAutospacing="1" w:after="100" w:afterAutospacing="1" w:line="520" w:lineRule="exact"/>
        <w:jc w:val="center"/>
        <w:rPr>
          <w:rFonts w:ascii="宋体" w:eastAsia="宋体" w:hAnsi="宋体" w:cs="宋体"/>
          <w:kern w:val="0"/>
          <w:sz w:val="24"/>
          <w:szCs w:val="24"/>
        </w:rPr>
      </w:pPr>
      <w:r w:rsidRPr="00E10318">
        <w:rPr>
          <w:rFonts w:ascii="仿宋" w:eastAsia="仿宋" w:hAnsi="仿宋" w:cs="宋体" w:hint="eastAsia"/>
          <w:b/>
          <w:bCs/>
          <w:kern w:val="0"/>
          <w:sz w:val="32"/>
          <w:szCs w:val="32"/>
        </w:rPr>
        <w:t>第四章 限仓制度</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第十五条 交易</w:t>
      </w:r>
      <w:r w:rsidRPr="00E10318">
        <w:rPr>
          <w:rFonts w:ascii="仿宋" w:eastAsia="仿宋" w:hAnsi="仿宋" w:cs="宋体" w:hint="eastAsia"/>
          <w:color w:val="333333"/>
          <w:kern w:val="0"/>
          <w:sz w:val="32"/>
          <w:szCs w:val="32"/>
        </w:rPr>
        <w:t>所</w:t>
      </w:r>
      <w:bookmarkEnd w:id="5"/>
      <w:r w:rsidRPr="00E10318">
        <w:rPr>
          <w:rFonts w:ascii="仿宋" w:eastAsia="仿宋" w:hAnsi="仿宋" w:cs="宋体" w:hint="eastAsia"/>
          <w:kern w:val="0"/>
          <w:sz w:val="32"/>
          <w:szCs w:val="32"/>
        </w:rPr>
        <w:t>实行</w:t>
      </w:r>
      <w:bookmarkEnd w:id="6"/>
      <w:bookmarkEnd w:id="7"/>
      <w:bookmarkEnd w:id="8"/>
      <w:r w:rsidRPr="00E10318">
        <w:rPr>
          <w:rFonts w:ascii="仿宋" w:eastAsia="仿宋" w:hAnsi="仿宋" w:cs="宋体" w:hint="eastAsia"/>
          <w:color w:val="333333"/>
          <w:kern w:val="0"/>
          <w:sz w:val="32"/>
          <w:szCs w:val="32"/>
        </w:rPr>
        <w:t>持仓</w:t>
      </w:r>
      <w:bookmarkEnd w:id="9"/>
      <w:r w:rsidRPr="00E10318">
        <w:rPr>
          <w:rFonts w:ascii="仿宋" w:eastAsia="仿宋" w:hAnsi="仿宋" w:cs="宋体" w:hint="eastAsia"/>
          <w:kern w:val="0"/>
          <w:sz w:val="32"/>
          <w:szCs w:val="32"/>
        </w:rPr>
        <w:t>限额制度。</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持仓限额是指交易所规定的会员或者客户对某一合约单边持仓的最大数量。</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套期保值持</w:t>
      </w:r>
      <w:proofErr w:type="gramStart"/>
      <w:r w:rsidRPr="00E10318">
        <w:rPr>
          <w:rFonts w:ascii="仿宋" w:eastAsia="仿宋" w:hAnsi="仿宋" w:cs="宋体" w:hint="eastAsia"/>
          <w:kern w:val="0"/>
          <w:sz w:val="32"/>
          <w:szCs w:val="32"/>
        </w:rPr>
        <w:t>仓头寸</w:t>
      </w:r>
      <w:proofErr w:type="gramEnd"/>
      <w:r w:rsidRPr="00E10318">
        <w:rPr>
          <w:rFonts w:ascii="仿宋" w:eastAsia="仿宋" w:hAnsi="仿宋" w:cs="宋体" w:hint="eastAsia"/>
          <w:kern w:val="0"/>
          <w:sz w:val="32"/>
          <w:szCs w:val="32"/>
        </w:rPr>
        <w:t>实行审批制度，不受本条前款限制。</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第十六条持仓限额实行以下基本制度:</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（一）根据不同期货品种的具体情况，分别确定每一品种每一月份合约的持仓限额;</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 xml:space="preserve">（二）某一月份合约在其交易过程中的不同阶段，分别适用不同的持仓限额，进入交割月份的合约的持仓限额从严控制;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（三）采用限制会员持仓和限制客户持仓、比例限仓和数额限仓相结合的办法，控制市场风险。</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lastRenderedPageBreak/>
        <w:t>第十七条 同一客户在不同期货公司会员处开有多个交易编码，各交易编码上所有持</w:t>
      </w:r>
      <w:proofErr w:type="gramStart"/>
      <w:r w:rsidRPr="00E10318">
        <w:rPr>
          <w:rFonts w:ascii="仿宋" w:eastAsia="仿宋" w:hAnsi="仿宋" w:cs="宋体" w:hint="eastAsia"/>
          <w:kern w:val="0"/>
          <w:sz w:val="32"/>
          <w:szCs w:val="32"/>
        </w:rPr>
        <w:t>仓头</w:t>
      </w:r>
      <w:proofErr w:type="gramEnd"/>
      <w:r w:rsidRPr="00E10318">
        <w:rPr>
          <w:rFonts w:ascii="仿宋" w:eastAsia="仿宋" w:hAnsi="仿宋" w:cs="宋体" w:hint="eastAsia"/>
          <w:kern w:val="0"/>
          <w:sz w:val="32"/>
          <w:szCs w:val="32"/>
        </w:rPr>
        <w:t>寸的合计数，不得超出一个客户的持仓限额。</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交割月前第一月的最后一个交易日收盘前，各会员、各客户在每个会员处铜、铝、锌、铅期货合约的投机持仓应当调整为5手的整倍数（</w:t>
      </w:r>
      <w:proofErr w:type="gramStart"/>
      <w:r w:rsidRPr="00E10318">
        <w:rPr>
          <w:rFonts w:ascii="仿宋" w:eastAsia="仿宋" w:hAnsi="仿宋" w:cs="宋体" w:hint="eastAsia"/>
          <w:kern w:val="0"/>
          <w:sz w:val="32"/>
          <w:szCs w:val="32"/>
        </w:rPr>
        <w:t>遇市场</w:t>
      </w:r>
      <w:proofErr w:type="gramEnd"/>
      <w:r w:rsidRPr="00E10318">
        <w:rPr>
          <w:rFonts w:ascii="仿宋" w:eastAsia="仿宋" w:hAnsi="仿宋" w:cs="宋体" w:hint="eastAsia"/>
          <w:kern w:val="0"/>
          <w:sz w:val="32"/>
          <w:szCs w:val="32"/>
        </w:rPr>
        <w:t>特殊情况无法按期调整的，可以顺延一天）; 进入交割月后，铜、铝、锌、铅合约投机持仓应当是5手的整倍数，新开、平仓也应当是5手的整倍数。</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交割月前第一月的最后一个交易日收盘前，各会员、各客户在每个</w:t>
      </w:r>
      <w:proofErr w:type="gramStart"/>
      <w:r w:rsidRPr="00E10318">
        <w:rPr>
          <w:rFonts w:ascii="仿宋" w:eastAsia="仿宋" w:hAnsi="仿宋" w:cs="宋体" w:hint="eastAsia"/>
          <w:kern w:val="0"/>
          <w:sz w:val="32"/>
          <w:szCs w:val="32"/>
        </w:rPr>
        <w:t>会员处镍期货</w:t>
      </w:r>
      <w:proofErr w:type="gramEnd"/>
      <w:r w:rsidRPr="00E10318">
        <w:rPr>
          <w:rFonts w:ascii="仿宋" w:eastAsia="仿宋" w:hAnsi="仿宋" w:cs="宋体" w:hint="eastAsia"/>
          <w:kern w:val="0"/>
          <w:sz w:val="32"/>
          <w:szCs w:val="32"/>
        </w:rPr>
        <w:t>合约的投机持仓应当调整为6手的整倍数（</w:t>
      </w:r>
      <w:proofErr w:type="gramStart"/>
      <w:r w:rsidRPr="00E10318">
        <w:rPr>
          <w:rFonts w:ascii="仿宋" w:eastAsia="仿宋" w:hAnsi="仿宋" w:cs="宋体" w:hint="eastAsia"/>
          <w:kern w:val="0"/>
          <w:sz w:val="32"/>
          <w:szCs w:val="32"/>
        </w:rPr>
        <w:t>遇市场</w:t>
      </w:r>
      <w:proofErr w:type="gramEnd"/>
      <w:r w:rsidRPr="00E10318">
        <w:rPr>
          <w:rFonts w:ascii="仿宋" w:eastAsia="仿宋" w:hAnsi="仿宋" w:cs="宋体" w:hint="eastAsia"/>
          <w:kern w:val="0"/>
          <w:sz w:val="32"/>
          <w:szCs w:val="32"/>
        </w:rPr>
        <w:t>特殊情况无法按期调整的，可以顺延一天）; 进入交割月后，镍期货合约投机持仓应当是6手的整倍数，新开、平仓也应当是6手的整倍数。</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交割月前第一月的最后一个交易日收盘前，各会员、各客户在每个会员处螺纹钢、线材、热轧卷板期货合约的投机持仓应当调整为30手的整倍数（</w:t>
      </w:r>
      <w:proofErr w:type="gramStart"/>
      <w:r w:rsidRPr="00E10318">
        <w:rPr>
          <w:rFonts w:ascii="仿宋" w:eastAsia="仿宋" w:hAnsi="仿宋" w:cs="宋体" w:hint="eastAsia"/>
          <w:kern w:val="0"/>
          <w:sz w:val="32"/>
          <w:szCs w:val="32"/>
        </w:rPr>
        <w:t>遇市场</w:t>
      </w:r>
      <w:proofErr w:type="gramEnd"/>
      <w:r w:rsidRPr="00E10318">
        <w:rPr>
          <w:rFonts w:ascii="仿宋" w:eastAsia="仿宋" w:hAnsi="仿宋" w:cs="宋体" w:hint="eastAsia"/>
          <w:kern w:val="0"/>
          <w:sz w:val="32"/>
          <w:szCs w:val="32"/>
        </w:rPr>
        <w:t>特殊情况无法按期调整的，可以顺延一天）;进入交割月后，螺纹钢、线材、热轧卷板合约投机持仓应当是30手的整倍数，新开、平仓也应当是30手的整倍数。</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交割月前第一月的最后一个交易日收盘前，各会员、各客户在每个会员处黄金期货合约的投机持仓应当调整为3手的整倍数。进入交割月后，黄金期货合约投机持仓应当是3手的整倍数，新开仓、平仓也应当是3手的整倍数。</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lastRenderedPageBreak/>
        <w:t>交割月前第一月的最后一个交易日收盘前，各会员、各客户在每个会员处锡、白银期货合约的投机持仓应当调整为2手的整倍数。进入交割月后，锡、白银期货合约投机持仓应当是2手的整倍数，新开仓、平仓也应当是2手的整倍数。</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相关品种期货合约套期保值交易头寸整倍数相关规定参见上海期货交易所套期保值交易管理相关规定。</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 xml:space="preserve">第十八条 </w:t>
      </w:r>
      <w:r w:rsidRPr="00E10318">
        <w:rPr>
          <w:rFonts w:ascii="仿宋" w:eastAsia="仿宋" w:hAnsi="仿宋" w:cs="宋体" w:hint="eastAsia"/>
          <w:bCs/>
          <w:kern w:val="0"/>
          <w:sz w:val="32"/>
          <w:szCs w:val="21"/>
        </w:rPr>
        <w:t>期货公司</w:t>
      </w:r>
      <w:r w:rsidRPr="00E10318">
        <w:rPr>
          <w:rFonts w:ascii="仿宋" w:eastAsia="仿宋" w:hAnsi="仿宋" w:cs="宋体" w:hint="eastAsia"/>
          <w:kern w:val="0"/>
          <w:sz w:val="32"/>
          <w:szCs w:val="32"/>
        </w:rPr>
        <w:t>会员、非</w:t>
      </w:r>
      <w:r w:rsidRPr="00E10318">
        <w:rPr>
          <w:rFonts w:ascii="仿宋" w:eastAsia="仿宋" w:hAnsi="仿宋" w:cs="宋体" w:hint="eastAsia"/>
          <w:bCs/>
          <w:kern w:val="0"/>
          <w:sz w:val="32"/>
          <w:szCs w:val="21"/>
        </w:rPr>
        <w:t>期货公司会员和客户的各品种期货合约在不同时期的限仓比例和限仓数额具体规定如下：</w:t>
      </w:r>
    </w:p>
    <w:p w:rsidR="00E10318" w:rsidRPr="00E10318" w:rsidRDefault="00E10318" w:rsidP="00E10318">
      <w:pPr>
        <w:widowControl/>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宋体" w:eastAsia="宋体" w:hAnsi="宋体" w:cs="宋体" w:hint="eastAsia"/>
          <w:kern w:val="0"/>
          <w:sz w:val="32"/>
          <w:szCs w:val="32"/>
        </w:rPr>
        <w:t> </w:t>
      </w:r>
    </w:p>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
          <w:bCs/>
          <w:spacing w:val="-20"/>
          <w:kern w:val="0"/>
          <w:sz w:val="24"/>
          <w:szCs w:val="24"/>
        </w:rPr>
        <w:t>表二十八</w:t>
      </w:r>
      <w:r w:rsidRPr="00E10318">
        <w:rPr>
          <w:rFonts w:ascii="宋体" w:eastAsia="宋体" w:hAnsi="宋体" w:cs="宋体" w:hint="eastAsia"/>
          <w:b/>
          <w:bCs/>
          <w:spacing w:val="-20"/>
          <w:kern w:val="0"/>
          <w:sz w:val="24"/>
          <w:szCs w:val="24"/>
        </w:rPr>
        <w:t> </w:t>
      </w:r>
      <w:r w:rsidRPr="00E10318">
        <w:rPr>
          <w:rFonts w:ascii="仿宋" w:eastAsia="仿宋" w:hAnsi="仿宋" w:cs="仿宋" w:hint="eastAsia"/>
          <w:b/>
          <w:bCs/>
          <w:spacing w:val="-20"/>
          <w:kern w:val="0"/>
          <w:sz w:val="24"/>
          <w:szCs w:val="24"/>
        </w:rPr>
        <w:t xml:space="preserve"> </w:t>
      </w:r>
      <w:r w:rsidRPr="00E10318">
        <w:rPr>
          <w:rFonts w:ascii="仿宋" w:eastAsia="仿宋" w:hAnsi="仿宋" w:cs="宋体" w:hint="eastAsia"/>
          <w:b/>
          <w:bCs/>
          <w:spacing w:val="-20"/>
          <w:kern w:val="0"/>
          <w:sz w:val="24"/>
          <w:szCs w:val="24"/>
        </w:rPr>
        <w:t>铜、铝、锌、螺纹钢、线材期货合约在不同时期的限仓比例和限仓数额规定</w:t>
      </w:r>
    </w:p>
    <w:p w:rsidR="00E10318" w:rsidRPr="00E10318" w:rsidRDefault="00E10318" w:rsidP="00E10318">
      <w:pPr>
        <w:widowControl/>
        <w:spacing w:before="100" w:beforeAutospacing="1" w:after="100" w:afterAutospacing="1"/>
        <w:jc w:val="right"/>
        <w:rPr>
          <w:rFonts w:ascii="宋体" w:eastAsia="宋体" w:hAnsi="宋体" w:cs="宋体"/>
          <w:kern w:val="0"/>
          <w:sz w:val="24"/>
          <w:szCs w:val="24"/>
        </w:rPr>
      </w:pPr>
      <w:r w:rsidRPr="00E10318">
        <w:rPr>
          <w:rFonts w:ascii="仿宋" w:eastAsia="仿宋" w:hAnsi="仿宋" w:cs="宋体" w:hint="eastAsia"/>
          <w:kern w:val="0"/>
          <w:sz w:val="24"/>
          <w:szCs w:val="24"/>
        </w:rPr>
        <w:t>（单位：手）</w:t>
      </w:r>
    </w:p>
    <w:tbl>
      <w:tblPr>
        <w:tblW w:w="8850" w:type="dxa"/>
        <w:jc w:val="center"/>
        <w:tblInd w:w="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607"/>
        <w:gridCol w:w="709"/>
        <w:gridCol w:w="993"/>
        <w:gridCol w:w="708"/>
        <w:gridCol w:w="851"/>
        <w:gridCol w:w="709"/>
        <w:gridCol w:w="1071"/>
        <w:gridCol w:w="966"/>
        <w:gridCol w:w="1018"/>
        <w:gridCol w:w="1218"/>
      </w:tblGrid>
      <w:tr w:rsidR="00E10318" w:rsidRPr="00E10318" w:rsidTr="00E10318">
        <w:trPr>
          <w:cantSplit/>
          <w:trHeight w:val="817"/>
          <w:jc w:val="center"/>
        </w:trPr>
        <w:tc>
          <w:tcPr>
            <w:tcW w:w="606" w:type="dxa"/>
            <w:vMerge w:val="restart"/>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宋体" w:eastAsia="宋体" w:hAnsi="宋体" w:cs="宋体" w:hint="eastAsia"/>
                <w:kern w:val="0"/>
                <w:sz w:val="24"/>
                <w:szCs w:val="24"/>
              </w:rPr>
              <w:t> </w:t>
            </w:r>
          </w:p>
        </w:tc>
        <w:tc>
          <w:tcPr>
            <w:tcW w:w="1701" w:type="dxa"/>
            <w:gridSpan w:val="2"/>
            <w:tcBorders>
              <w:top w:val="single" w:sz="6" w:space="0" w:color="auto"/>
              <w:left w:val="single" w:sz="6" w:space="0" w:color="auto"/>
              <w:bottom w:val="single" w:sz="6"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合约挂牌至交割月份</w:t>
            </w:r>
          </w:p>
        </w:tc>
        <w:tc>
          <w:tcPr>
            <w:tcW w:w="2268" w:type="dxa"/>
            <w:gridSpan w:val="3"/>
            <w:tcBorders>
              <w:top w:val="single" w:sz="6" w:space="0" w:color="auto"/>
              <w:left w:val="single" w:sz="4" w:space="0" w:color="auto"/>
              <w:bottom w:val="single" w:sz="6"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合约挂牌至交割月前第二月的最后一个交易日</w:t>
            </w:r>
          </w:p>
        </w:tc>
        <w:tc>
          <w:tcPr>
            <w:tcW w:w="2037" w:type="dxa"/>
            <w:gridSpan w:val="2"/>
            <w:tcBorders>
              <w:top w:val="single" w:sz="6" w:space="0" w:color="auto"/>
              <w:left w:val="single" w:sz="4"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交割月前第一月</w:t>
            </w:r>
          </w:p>
        </w:tc>
        <w:tc>
          <w:tcPr>
            <w:tcW w:w="2236" w:type="dxa"/>
            <w:gridSpan w:val="2"/>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交割月份</w:t>
            </w:r>
          </w:p>
        </w:tc>
      </w:tr>
      <w:tr w:rsidR="00E10318" w:rsidRPr="00E10318" w:rsidTr="00E10318">
        <w:trPr>
          <w:cantSplit/>
          <w:jc w:val="center"/>
        </w:trPr>
        <w:tc>
          <w:tcPr>
            <w:tcW w:w="606" w:type="dxa"/>
            <w:vMerge/>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jc w:val="left"/>
              <w:rPr>
                <w:rFonts w:ascii="宋体" w:eastAsia="宋体" w:hAnsi="宋体" w:cs="宋体"/>
                <w:kern w:val="0"/>
                <w:sz w:val="24"/>
                <w:szCs w:val="24"/>
              </w:rPr>
            </w:pPr>
          </w:p>
        </w:tc>
        <w:tc>
          <w:tcPr>
            <w:tcW w:w="708" w:type="dxa"/>
            <w:vMerge w:val="restart"/>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某一期货合约持仓量</w:t>
            </w:r>
          </w:p>
        </w:tc>
        <w:tc>
          <w:tcPr>
            <w:tcW w:w="993" w:type="dxa"/>
            <w:tcBorders>
              <w:top w:val="single" w:sz="6" w:space="0" w:color="auto"/>
              <w:left w:val="single" w:sz="6" w:space="0" w:color="auto"/>
              <w:bottom w:val="single" w:sz="6"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限仓比例（</w:t>
            </w:r>
            <w:r w:rsidRPr="00E10318">
              <w:rPr>
                <w:rFonts w:ascii="Symbol" w:eastAsia="宋体" w:hAnsi="Symbol" w:cs="宋体"/>
                <w:kern w:val="0"/>
                <w:sz w:val="24"/>
                <w:szCs w:val="24"/>
              </w:rPr>
              <w:t></w:t>
            </w:r>
            <w:r w:rsidRPr="00E10318">
              <w:rPr>
                <w:rFonts w:ascii="仿宋" w:eastAsia="仿宋" w:hAnsi="仿宋" w:cs="宋体" w:hint="eastAsia"/>
                <w:kern w:val="0"/>
                <w:sz w:val="24"/>
                <w:szCs w:val="24"/>
              </w:rPr>
              <w:t>）</w:t>
            </w:r>
          </w:p>
        </w:tc>
        <w:tc>
          <w:tcPr>
            <w:tcW w:w="708" w:type="dxa"/>
            <w:vMerge w:val="restart"/>
            <w:tcBorders>
              <w:top w:val="single" w:sz="6" w:space="0" w:color="auto"/>
              <w:left w:val="single" w:sz="4" w:space="0" w:color="auto"/>
              <w:bottom w:val="single" w:sz="6"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某一期货合约持仓量</w:t>
            </w:r>
          </w:p>
        </w:tc>
        <w:tc>
          <w:tcPr>
            <w:tcW w:w="1560" w:type="dxa"/>
            <w:gridSpan w:val="2"/>
            <w:tcBorders>
              <w:top w:val="single" w:sz="6" w:space="0" w:color="auto"/>
              <w:left w:val="single" w:sz="4" w:space="0" w:color="auto"/>
              <w:bottom w:val="single" w:sz="6"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限仓比例</w:t>
            </w:r>
          </w:p>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w:t>
            </w:r>
            <w:r w:rsidRPr="00E10318">
              <w:rPr>
                <w:rFonts w:ascii="Symbol" w:eastAsia="宋体" w:hAnsi="Symbol" w:cs="宋体"/>
                <w:kern w:val="0"/>
                <w:sz w:val="24"/>
                <w:szCs w:val="24"/>
              </w:rPr>
              <w:t></w:t>
            </w:r>
            <w:r w:rsidRPr="00E10318">
              <w:rPr>
                <w:rFonts w:ascii="仿宋" w:eastAsia="仿宋" w:hAnsi="仿宋" w:cs="宋体" w:hint="eastAsia"/>
                <w:kern w:val="0"/>
                <w:sz w:val="24"/>
                <w:szCs w:val="24"/>
              </w:rPr>
              <w:t>）</w:t>
            </w:r>
          </w:p>
        </w:tc>
        <w:tc>
          <w:tcPr>
            <w:tcW w:w="2037" w:type="dxa"/>
            <w:gridSpan w:val="2"/>
            <w:tcBorders>
              <w:top w:val="single" w:sz="6" w:space="0" w:color="auto"/>
              <w:left w:val="single" w:sz="4"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限仓数额(手)</w:t>
            </w:r>
          </w:p>
        </w:tc>
        <w:tc>
          <w:tcPr>
            <w:tcW w:w="2236" w:type="dxa"/>
            <w:gridSpan w:val="2"/>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 xml:space="preserve">限仓数额(手) </w:t>
            </w:r>
          </w:p>
        </w:tc>
      </w:tr>
      <w:tr w:rsidR="00E10318" w:rsidRPr="00E10318" w:rsidTr="00E10318">
        <w:trPr>
          <w:cantSplit/>
          <w:jc w:val="center"/>
        </w:trPr>
        <w:tc>
          <w:tcPr>
            <w:tcW w:w="606" w:type="dxa"/>
            <w:vMerge/>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jc w:val="left"/>
              <w:rPr>
                <w:rFonts w:ascii="宋体" w:eastAsia="宋体" w:hAnsi="宋体" w:cs="宋体"/>
                <w:kern w:val="0"/>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jc w:val="left"/>
              <w:rPr>
                <w:rFonts w:ascii="宋体" w:eastAsia="宋体" w:hAnsi="宋体" w:cs="宋体"/>
                <w:kern w:val="0"/>
                <w:sz w:val="24"/>
                <w:szCs w:val="24"/>
              </w:rPr>
            </w:pPr>
          </w:p>
        </w:tc>
        <w:tc>
          <w:tcPr>
            <w:tcW w:w="993" w:type="dxa"/>
            <w:tcBorders>
              <w:top w:val="single" w:sz="6" w:space="0" w:color="auto"/>
              <w:left w:val="single" w:sz="6" w:space="0" w:color="auto"/>
              <w:bottom w:val="single" w:sz="6"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期货公司会员</w:t>
            </w:r>
          </w:p>
        </w:tc>
        <w:tc>
          <w:tcPr>
            <w:tcW w:w="2268" w:type="dxa"/>
            <w:vMerge/>
            <w:tcBorders>
              <w:top w:val="single" w:sz="6" w:space="0" w:color="auto"/>
              <w:left w:val="single" w:sz="4" w:space="0" w:color="auto"/>
              <w:bottom w:val="single" w:sz="6" w:space="0" w:color="auto"/>
              <w:right w:val="single" w:sz="4" w:space="0" w:color="auto"/>
            </w:tcBorders>
            <w:vAlign w:val="center"/>
            <w:hideMark/>
          </w:tcPr>
          <w:p w:rsidR="00E10318" w:rsidRPr="00E10318" w:rsidRDefault="00E10318" w:rsidP="00E10318">
            <w:pPr>
              <w:widowControl/>
              <w:jc w:val="left"/>
              <w:rPr>
                <w:rFonts w:ascii="宋体" w:eastAsia="宋体" w:hAnsi="宋体" w:cs="宋体"/>
                <w:kern w:val="0"/>
                <w:sz w:val="24"/>
                <w:szCs w:val="24"/>
              </w:rPr>
            </w:pPr>
          </w:p>
        </w:tc>
        <w:tc>
          <w:tcPr>
            <w:tcW w:w="851" w:type="dxa"/>
            <w:tcBorders>
              <w:top w:val="single" w:sz="6" w:space="0" w:color="auto"/>
              <w:left w:val="single" w:sz="4"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非期货公司会员</w:t>
            </w:r>
          </w:p>
        </w:tc>
        <w:tc>
          <w:tcPr>
            <w:tcW w:w="709"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客户</w:t>
            </w:r>
          </w:p>
        </w:tc>
        <w:tc>
          <w:tcPr>
            <w:tcW w:w="1071" w:type="dxa"/>
            <w:tcBorders>
              <w:top w:val="single" w:sz="6" w:space="0" w:color="auto"/>
              <w:left w:val="single" w:sz="4"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非期货公司会员</w:t>
            </w:r>
          </w:p>
        </w:tc>
        <w:tc>
          <w:tcPr>
            <w:tcW w:w="966"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客户</w:t>
            </w:r>
          </w:p>
        </w:tc>
        <w:tc>
          <w:tcPr>
            <w:tcW w:w="1018" w:type="dxa"/>
            <w:tcBorders>
              <w:top w:val="single" w:sz="6" w:space="0" w:color="auto"/>
              <w:left w:val="single" w:sz="4"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非期货公司会员</w:t>
            </w:r>
          </w:p>
        </w:tc>
        <w:tc>
          <w:tcPr>
            <w:tcW w:w="1218"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客户</w:t>
            </w:r>
          </w:p>
        </w:tc>
      </w:tr>
      <w:tr w:rsidR="00E10318" w:rsidRPr="00E10318" w:rsidTr="00E10318">
        <w:trPr>
          <w:cantSplit/>
          <w:trHeight w:val="641"/>
          <w:jc w:val="center"/>
        </w:trPr>
        <w:tc>
          <w:tcPr>
            <w:tcW w:w="606"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铜</w:t>
            </w:r>
          </w:p>
        </w:tc>
        <w:tc>
          <w:tcPr>
            <w:tcW w:w="708"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≥12万手</w:t>
            </w:r>
          </w:p>
        </w:tc>
        <w:tc>
          <w:tcPr>
            <w:tcW w:w="993" w:type="dxa"/>
            <w:tcBorders>
              <w:top w:val="single" w:sz="6" w:space="0" w:color="auto"/>
              <w:left w:val="single" w:sz="6" w:space="0" w:color="auto"/>
              <w:bottom w:val="single" w:sz="6"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25</w:t>
            </w:r>
          </w:p>
        </w:tc>
        <w:tc>
          <w:tcPr>
            <w:tcW w:w="708" w:type="dxa"/>
            <w:tcBorders>
              <w:top w:val="single" w:sz="6" w:space="0" w:color="auto"/>
              <w:left w:val="single" w:sz="4" w:space="0" w:color="auto"/>
              <w:bottom w:val="single" w:sz="6"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≥12万手</w:t>
            </w:r>
          </w:p>
        </w:tc>
        <w:tc>
          <w:tcPr>
            <w:tcW w:w="851" w:type="dxa"/>
            <w:tcBorders>
              <w:top w:val="single" w:sz="6" w:space="0" w:color="auto"/>
              <w:left w:val="single" w:sz="4"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c>
          <w:tcPr>
            <w:tcW w:w="709"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5</w:t>
            </w:r>
          </w:p>
        </w:tc>
        <w:tc>
          <w:tcPr>
            <w:tcW w:w="1071" w:type="dxa"/>
            <w:tcBorders>
              <w:top w:val="single" w:sz="6" w:space="0" w:color="auto"/>
              <w:left w:val="single" w:sz="4"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1200</w:t>
            </w:r>
          </w:p>
        </w:tc>
        <w:tc>
          <w:tcPr>
            <w:tcW w:w="966"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800</w:t>
            </w:r>
          </w:p>
        </w:tc>
        <w:tc>
          <w:tcPr>
            <w:tcW w:w="1018" w:type="dxa"/>
            <w:tcBorders>
              <w:top w:val="single" w:sz="6" w:space="0" w:color="auto"/>
              <w:left w:val="single" w:sz="4"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500</w:t>
            </w:r>
          </w:p>
        </w:tc>
        <w:tc>
          <w:tcPr>
            <w:tcW w:w="1218"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300</w:t>
            </w:r>
          </w:p>
        </w:tc>
      </w:tr>
      <w:tr w:rsidR="00E10318" w:rsidRPr="00E10318" w:rsidTr="00E10318">
        <w:trPr>
          <w:cantSplit/>
          <w:trHeight w:val="323"/>
          <w:jc w:val="center"/>
        </w:trPr>
        <w:tc>
          <w:tcPr>
            <w:tcW w:w="606"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铝</w:t>
            </w:r>
          </w:p>
        </w:tc>
        <w:tc>
          <w:tcPr>
            <w:tcW w:w="708"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≥12万手</w:t>
            </w:r>
          </w:p>
        </w:tc>
        <w:tc>
          <w:tcPr>
            <w:tcW w:w="993" w:type="dxa"/>
            <w:tcBorders>
              <w:top w:val="single" w:sz="6" w:space="0" w:color="auto"/>
              <w:left w:val="single" w:sz="6" w:space="0" w:color="auto"/>
              <w:bottom w:val="single" w:sz="6"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25</w:t>
            </w:r>
          </w:p>
        </w:tc>
        <w:tc>
          <w:tcPr>
            <w:tcW w:w="708" w:type="dxa"/>
            <w:tcBorders>
              <w:top w:val="single" w:sz="6" w:space="0" w:color="auto"/>
              <w:left w:val="single" w:sz="4" w:space="0" w:color="auto"/>
              <w:bottom w:val="single" w:sz="6" w:space="0" w:color="auto"/>
              <w:right w:val="single" w:sz="4"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≥12万手</w:t>
            </w:r>
          </w:p>
        </w:tc>
        <w:tc>
          <w:tcPr>
            <w:tcW w:w="851" w:type="dxa"/>
            <w:tcBorders>
              <w:top w:val="single" w:sz="6" w:space="0" w:color="auto"/>
              <w:left w:val="single" w:sz="4"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c>
          <w:tcPr>
            <w:tcW w:w="709"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5</w:t>
            </w:r>
          </w:p>
        </w:tc>
        <w:tc>
          <w:tcPr>
            <w:tcW w:w="1071" w:type="dxa"/>
            <w:tcBorders>
              <w:top w:val="single" w:sz="6" w:space="0" w:color="auto"/>
              <w:left w:val="single" w:sz="4"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1500</w:t>
            </w:r>
          </w:p>
        </w:tc>
        <w:tc>
          <w:tcPr>
            <w:tcW w:w="966"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1000</w:t>
            </w:r>
          </w:p>
        </w:tc>
        <w:tc>
          <w:tcPr>
            <w:tcW w:w="1018" w:type="dxa"/>
            <w:tcBorders>
              <w:top w:val="single" w:sz="6" w:space="0" w:color="auto"/>
              <w:left w:val="single" w:sz="4"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500</w:t>
            </w:r>
          </w:p>
        </w:tc>
        <w:tc>
          <w:tcPr>
            <w:tcW w:w="1218"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300</w:t>
            </w:r>
          </w:p>
        </w:tc>
      </w:tr>
      <w:tr w:rsidR="00E10318" w:rsidRPr="00E10318" w:rsidTr="00E10318">
        <w:trPr>
          <w:cantSplit/>
          <w:trHeight w:val="105"/>
          <w:jc w:val="center"/>
        </w:trPr>
        <w:tc>
          <w:tcPr>
            <w:tcW w:w="606"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锌</w:t>
            </w:r>
          </w:p>
        </w:tc>
        <w:tc>
          <w:tcPr>
            <w:tcW w:w="708"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≥12万手</w:t>
            </w:r>
          </w:p>
        </w:tc>
        <w:tc>
          <w:tcPr>
            <w:tcW w:w="993" w:type="dxa"/>
            <w:tcBorders>
              <w:top w:val="single" w:sz="6" w:space="0" w:color="auto"/>
              <w:left w:val="single" w:sz="6" w:space="0" w:color="auto"/>
              <w:bottom w:val="single" w:sz="6" w:space="0" w:color="auto"/>
              <w:right w:val="single" w:sz="4"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25</w:t>
            </w:r>
          </w:p>
        </w:tc>
        <w:tc>
          <w:tcPr>
            <w:tcW w:w="708" w:type="dxa"/>
            <w:tcBorders>
              <w:top w:val="single" w:sz="6" w:space="0" w:color="auto"/>
              <w:left w:val="single" w:sz="4" w:space="0" w:color="auto"/>
              <w:bottom w:val="single" w:sz="6" w:space="0" w:color="auto"/>
              <w:right w:val="single" w:sz="4"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≥12万手</w:t>
            </w:r>
          </w:p>
        </w:tc>
        <w:tc>
          <w:tcPr>
            <w:tcW w:w="851" w:type="dxa"/>
            <w:tcBorders>
              <w:top w:val="single" w:sz="6" w:space="0" w:color="auto"/>
              <w:left w:val="single" w:sz="4"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c>
          <w:tcPr>
            <w:tcW w:w="709"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5</w:t>
            </w:r>
          </w:p>
        </w:tc>
        <w:tc>
          <w:tcPr>
            <w:tcW w:w="1071" w:type="dxa"/>
            <w:tcBorders>
              <w:top w:val="single" w:sz="6" w:space="0" w:color="auto"/>
              <w:left w:val="single" w:sz="4"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1200</w:t>
            </w:r>
          </w:p>
        </w:tc>
        <w:tc>
          <w:tcPr>
            <w:tcW w:w="966"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800</w:t>
            </w:r>
          </w:p>
        </w:tc>
        <w:tc>
          <w:tcPr>
            <w:tcW w:w="1018" w:type="dxa"/>
            <w:tcBorders>
              <w:top w:val="single" w:sz="6" w:space="0" w:color="auto"/>
              <w:left w:val="single" w:sz="4"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500</w:t>
            </w:r>
          </w:p>
        </w:tc>
        <w:tc>
          <w:tcPr>
            <w:tcW w:w="1218"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300</w:t>
            </w:r>
          </w:p>
        </w:tc>
      </w:tr>
      <w:tr w:rsidR="00E10318" w:rsidRPr="00E10318" w:rsidTr="00E10318">
        <w:trPr>
          <w:cantSplit/>
          <w:trHeight w:val="105"/>
          <w:jc w:val="center"/>
        </w:trPr>
        <w:tc>
          <w:tcPr>
            <w:tcW w:w="606"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螺纹钢</w:t>
            </w:r>
          </w:p>
        </w:tc>
        <w:tc>
          <w:tcPr>
            <w:tcW w:w="708"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≥120万手</w:t>
            </w:r>
          </w:p>
        </w:tc>
        <w:tc>
          <w:tcPr>
            <w:tcW w:w="993" w:type="dxa"/>
            <w:tcBorders>
              <w:top w:val="single" w:sz="6" w:space="0" w:color="auto"/>
              <w:left w:val="single" w:sz="6" w:space="0" w:color="auto"/>
              <w:bottom w:val="single" w:sz="6" w:space="0" w:color="auto"/>
              <w:right w:val="single" w:sz="4"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25</w:t>
            </w:r>
          </w:p>
        </w:tc>
        <w:tc>
          <w:tcPr>
            <w:tcW w:w="708" w:type="dxa"/>
            <w:tcBorders>
              <w:top w:val="single" w:sz="6" w:space="0" w:color="auto"/>
              <w:left w:val="single" w:sz="4" w:space="0" w:color="auto"/>
              <w:bottom w:val="single" w:sz="6" w:space="0" w:color="auto"/>
              <w:right w:val="single" w:sz="4"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≥120万手</w:t>
            </w:r>
          </w:p>
        </w:tc>
        <w:tc>
          <w:tcPr>
            <w:tcW w:w="851" w:type="dxa"/>
            <w:tcBorders>
              <w:top w:val="single" w:sz="6" w:space="0" w:color="auto"/>
              <w:left w:val="single" w:sz="4"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c>
          <w:tcPr>
            <w:tcW w:w="709"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5</w:t>
            </w:r>
          </w:p>
        </w:tc>
        <w:tc>
          <w:tcPr>
            <w:tcW w:w="1071" w:type="dxa"/>
            <w:tcBorders>
              <w:top w:val="single" w:sz="6" w:space="0" w:color="auto"/>
              <w:left w:val="single" w:sz="4"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9000</w:t>
            </w:r>
          </w:p>
        </w:tc>
        <w:tc>
          <w:tcPr>
            <w:tcW w:w="966"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3000</w:t>
            </w:r>
          </w:p>
        </w:tc>
        <w:tc>
          <w:tcPr>
            <w:tcW w:w="1018" w:type="dxa"/>
            <w:tcBorders>
              <w:top w:val="single" w:sz="6" w:space="0" w:color="auto"/>
              <w:left w:val="single" w:sz="4"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1800</w:t>
            </w:r>
          </w:p>
        </w:tc>
        <w:tc>
          <w:tcPr>
            <w:tcW w:w="1218"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600</w:t>
            </w:r>
          </w:p>
        </w:tc>
      </w:tr>
      <w:tr w:rsidR="00E10318" w:rsidRPr="00E10318" w:rsidTr="00E10318">
        <w:trPr>
          <w:cantSplit/>
          <w:trHeight w:val="105"/>
          <w:jc w:val="center"/>
        </w:trPr>
        <w:tc>
          <w:tcPr>
            <w:tcW w:w="606"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线材</w:t>
            </w:r>
          </w:p>
        </w:tc>
        <w:tc>
          <w:tcPr>
            <w:tcW w:w="708"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≥45万手</w:t>
            </w:r>
          </w:p>
        </w:tc>
        <w:tc>
          <w:tcPr>
            <w:tcW w:w="993" w:type="dxa"/>
            <w:tcBorders>
              <w:top w:val="single" w:sz="6" w:space="0" w:color="auto"/>
              <w:left w:val="single" w:sz="6" w:space="0" w:color="auto"/>
              <w:bottom w:val="single" w:sz="6" w:space="0" w:color="auto"/>
              <w:right w:val="single" w:sz="4"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25</w:t>
            </w:r>
          </w:p>
        </w:tc>
        <w:tc>
          <w:tcPr>
            <w:tcW w:w="708" w:type="dxa"/>
            <w:tcBorders>
              <w:top w:val="single" w:sz="6" w:space="0" w:color="auto"/>
              <w:left w:val="single" w:sz="4" w:space="0" w:color="auto"/>
              <w:bottom w:val="single" w:sz="6" w:space="0" w:color="auto"/>
              <w:right w:val="single" w:sz="4"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≥45万手</w:t>
            </w:r>
          </w:p>
        </w:tc>
        <w:tc>
          <w:tcPr>
            <w:tcW w:w="851" w:type="dxa"/>
            <w:tcBorders>
              <w:top w:val="single" w:sz="6" w:space="0" w:color="auto"/>
              <w:left w:val="single" w:sz="4"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10</w:t>
            </w:r>
          </w:p>
        </w:tc>
        <w:tc>
          <w:tcPr>
            <w:tcW w:w="709"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5</w:t>
            </w:r>
          </w:p>
        </w:tc>
        <w:tc>
          <w:tcPr>
            <w:tcW w:w="1071" w:type="dxa"/>
            <w:tcBorders>
              <w:top w:val="single" w:sz="6" w:space="0" w:color="auto"/>
              <w:left w:val="single" w:sz="4"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6000</w:t>
            </w:r>
          </w:p>
        </w:tc>
        <w:tc>
          <w:tcPr>
            <w:tcW w:w="966"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1800</w:t>
            </w:r>
          </w:p>
        </w:tc>
        <w:tc>
          <w:tcPr>
            <w:tcW w:w="1018" w:type="dxa"/>
            <w:tcBorders>
              <w:top w:val="single" w:sz="6" w:space="0" w:color="auto"/>
              <w:left w:val="single" w:sz="4"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1200</w:t>
            </w:r>
          </w:p>
        </w:tc>
        <w:tc>
          <w:tcPr>
            <w:tcW w:w="1218"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line="105" w:lineRule="atLeast"/>
              <w:jc w:val="center"/>
              <w:rPr>
                <w:rFonts w:ascii="宋体" w:eastAsia="宋体" w:hAnsi="宋体" w:cs="宋体"/>
                <w:kern w:val="0"/>
                <w:sz w:val="24"/>
                <w:szCs w:val="24"/>
              </w:rPr>
            </w:pPr>
            <w:r w:rsidRPr="00E10318">
              <w:rPr>
                <w:rFonts w:ascii="仿宋" w:eastAsia="仿宋" w:hAnsi="仿宋" w:cs="宋体" w:hint="eastAsia"/>
                <w:kern w:val="0"/>
                <w:sz w:val="24"/>
                <w:szCs w:val="24"/>
              </w:rPr>
              <w:t>360</w:t>
            </w:r>
          </w:p>
        </w:tc>
      </w:tr>
    </w:tbl>
    <w:p w:rsidR="00E10318" w:rsidRPr="00E10318" w:rsidRDefault="00E10318" w:rsidP="00E10318">
      <w:pPr>
        <w:widowControl/>
        <w:spacing w:before="100" w:beforeAutospacing="1" w:after="100" w:afterAutospacing="1"/>
        <w:ind w:firstLineChars="200" w:firstLine="480"/>
        <w:jc w:val="left"/>
        <w:rPr>
          <w:rFonts w:ascii="宋体" w:eastAsia="宋体" w:hAnsi="宋体" w:cs="宋体"/>
          <w:kern w:val="0"/>
          <w:sz w:val="24"/>
          <w:szCs w:val="24"/>
        </w:rPr>
      </w:pPr>
      <w:r w:rsidRPr="00E10318">
        <w:rPr>
          <w:rFonts w:ascii="仿宋" w:eastAsia="仿宋" w:hAnsi="仿宋" w:cs="宋体" w:hint="eastAsia"/>
          <w:kern w:val="0"/>
          <w:sz w:val="24"/>
          <w:szCs w:val="24"/>
        </w:rPr>
        <w:lastRenderedPageBreak/>
        <w:t>注：表中某一期货合约持仓量为双向计算，期货公司会员、非期货公司会员、客户的限仓比例与限仓数额为单向计算；期货公司会员的限仓比例为基数。</w:t>
      </w:r>
    </w:p>
    <w:p w:rsidR="00E10318" w:rsidRPr="00E10318" w:rsidRDefault="00E10318" w:rsidP="00E10318">
      <w:pPr>
        <w:widowControl/>
        <w:spacing w:before="100" w:beforeAutospacing="1" w:after="100" w:afterAutospacing="1"/>
        <w:ind w:firstLineChars="200" w:firstLine="480"/>
        <w:jc w:val="left"/>
        <w:rPr>
          <w:rFonts w:ascii="宋体" w:eastAsia="宋体" w:hAnsi="宋体" w:cs="宋体"/>
          <w:kern w:val="0"/>
          <w:sz w:val="24"/>
          <w:szCs w:val="24"/>
        </w:rPr>
      </w:pPr>
      <w:r w:rsidRPr="00E10318">
        <w:rPr>
          <w:rFonts w:ascii="宋体" w:eastAsia="宋体" w:hAnsi="宋体" w:cs="宋体" w:hint="eastAsia"/>
          <w:kern w:val="0"/>
          <w:sz w:val="24"/>
          <w:szCs w:val="24"/>
          <w:shd w:val="clear" w:color="auto" w:fill="FFFF00"/>
        </w:rPr>
        <w:t> </w:t>
      </w:r>
    </w:p>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
          <w:bCs/>
          <w:spacing w:val="-20"/>
          <w:kern w:val="0"/>
          <w:sz w:val="24"/>
          <w:szCs w:val="24"/>
        </w:rPr>
        <w:t>表二十九 燃料油期货合约在不同时期的限仓比例和限仓数额规定</w:t>
      </w:r>
    </w:p>
    <w:p w:rsidR="00E10318" w:rsidRPr="00E10318" w:rsidRDefault="00E10318" w:rsidP="00E10318">
      <w:pPr>
        <w:widowControl/>
        <w:spacing w:before="100" w:beforeAutospacing="1" w:after="100" w:afterAutospacing="1"/>
        <w:ind w:firstLineChars="1800" w:firstLine="4320"/>
        <w:jc w:val="right"/>
        <w:rPr>
          <w:rFonts w:ascii="宋体" w:eastAsia="宋体" w:hAnsi="宋体" w:cs="宋体"/>
          <w:kern w:val="0"/>
          <w:sz w:val="24"/>
          <w:szCs w:val="24"/>
        </w:rPr>
      </w:pPr>
      <w:r w:rsidRPr="00E10318">
        <w:rPr>
          <w:rFonts w:ascii="仿宋" w:eastAsia="仿宋" w:hAnsi="仿宋" w:cs="宋体" w:hint="eastAsia"/>
          <w:kern w:val="0"/>
          <w:sz w:val="24"/>
          <w:szCs w:val="24"/>
        </w:rPr>
        <w:t>（单位：手）</w:t>
      </w:r>
    </w:p>
    <w:tbl>
      <w:tblPr>
        <w:tblW w:w="8700" w:type="dxa"/>
        <w:jc w:val="center"/>
        <w:tblInd w:w="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741"/>
        <w:gridCol w:w="1378"/>
        <w:gridCol w:w="1504"/>
        <w:gridCol w:w="1014"/>
        <w:gridCol w:w="773"/>
        <w:gridCol w:w="906"/>
        <w:gridCol w:w="743"/>
        <w:gridCol w:w="994"/>
        <w:gridCol w:w="647"/>
      </w:tblGrid>
      <w:tr w:rsidR="00E10318" w:rsidRPr="00E10318" w:rsidTr="00E10318">
        <w:trPr>
          <w:cantSplit/>
          <w:trHeight w:val="737"/>
          <w:jc w:val="center"/>
        </w:trPr>
        <w:tc>
          <w:tcPr>
            <w:tcW w:w="741" w:type="dxa"/>
            <w:vMerge w:val="restart"/>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宋体" w:eastAsia="宋体" w:hAnsi="宋体" w:cs="宋体" w:hint="eastAsia"/>
                <w:kern w:val="0"/>
                <w:sz w:val="24"/>
                <w:szCs w:val="24"/>
              </w:rPr>
              <w:t> </w:t>
            </w:r>
          </w:p>
        </w:tc>
        <w:tc>
          <w:tcPr>
            <w:tcW w:w="2884" w:type="dxa"/>
            <w:gridSpan w:val="2"/>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合约挂牌至交割月前第一月</w:t>
            </w:r>
          </w:p>
        </w:tc>
        <w:tc>
          <w:tcPr>
            <w:tcW w:w="1789" w:type="dxa"/>
            <w:gridSpan w:val="2"/>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合约挂牌至交割月前第三月的最后一个交易日</w:t>
            </w:r>
          </w:p>
        </w:tc>
        <w:tc>
          <w:tcPr>
            <w:tcW w:w="1651" w:type="dxa"/>
            <w:gridSpan w:val="2"/>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交割月前第二月</w:t>
            </w:r>
          </w:p>
        </w:tc>
        <w:tc>
          <w:tcPr>
            <w:tcW w:w="1642" w:type="dxa"/>
            <w:gridSpan w:val="2"/>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交割月前第一月</w:t>
            </w:r>
          </w:p>
        </w:tc>
      </w:tr>
      <w:tr w:rsidR="00E10318" w:rsidRPr="00E10318" w:rsidTr="00E10318">
        <w:trPr>
          <w:cantSplit/>
          <w:trHeight w:val="483"/>
          <w:jc w:val="center"/>
        </w:trPr>
        <w:tc>
          <w:tcPr>
            <w:tcW w:w="741" w:type="dxa"/>
            <w:vMerge/>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jc w:val="left"/>
              <w:rPr>
                <w:rFonts w:ascii="宋体" w:eastAsia="宋体" w:hAnsi="宋体" w:cs="宋体"/>
                <w:kern w:val="0"/>
                <w:sz w:val="24"/>
                <w:szCs w:val="24"/>
              </w:rPr>
            </w:pPr>
          </w:p>
        </w:tc>
        <w:tc>
          <w:tcPr>
            <w:tcW w:w="1379" w:type="dxa"/>
            <w:vMerge w:val="restart"/>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某一</w:t>
            </w:r>
          </w:p>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期货合约</w:t>
            </w:r>
          </w:p>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持仓量</w:t>
            </w:r>
          </w:p>
        </w:tc>
        <w:tc>
          <w:tcPr>
            <w:tcW w:w="1505"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限仓比例（</w:t>
            </w:r>
            <w:r w:rsidRPr="00E10318">
              <w:rPr>
                <w:rFonts w:ascii="Symbol" w:eastAsia="宋体" w:hAnsi="Symbol" w:cs="宋体"/>
                <w:kern w:val="0"/>
                <w:sz w:val="24"/>
                <w:szCs w:val="24"/>
              </w:rPr>
              <w:t></w:t>
            </w:r>
            <w:r w:rsidRPr="00E10318">
              <w:rPr>
                <w:rFonts w:ascii="仿宋" w:eastAsia="仿宋" w:hAnsi="仿宋" w:cs="宋体" w:hint="eastAsia"/>
                <w:kern w:val="0"/>
                <w:sz w:val="24"/>
                <w:szCs w:val="24"/>
              </w:rPr>
              <w:t>）</w:t>
            </w:r>
          </w:p>
        </w:tc>
        <w:tc>
          <w:tcPr>
            <w:tcW w:w="1789" w:type="dxa"/>
            <w:gridSpan w:val="2"/>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限仓数额（手）</w:t>
            </w:r>
          </w:p>
        </w:tc>
        <w:tc>
          <w:tcPr>
            <w:tcW w:w="1651" w:type="dxa"/>
            <w:gridSpan w:val="2"/>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限仓数额（手）</w:t>
            </w:r>
          </w:p>
        </w:tc>
        <w:tc>
          <w:tcPr>
            <w:tcW w:w="1642" w:type="dxa"/>
            <w:gridSpan w:val="2"/>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限仓数额（手）</w:t>
            </w:r>
          </w:p>
        </w:tc>
      </w:tr>
      <w:tr w:rsidR="00E10318" w:rsidRPr="00E10318" w:rsidTr="00E10318">
        <w:trPr>
          <w:cantSplit/>
          <w:trHeight w:val="697"/>
          <w:jc w:val="center"/>
        </w:trPr>
        <w:tc>
          <w:tcPr>
            <w:tcW w:w="741" w:type="dxa"/>
            <w:vMerge/>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jc w:val="left"/>
              <w:rPr>
                <w:rFonts w:ascii="宋体" w:eastAsia="宋体" w:hAnsi="宋体" w:cs="宋体"/>
                <w:kern w:val="0"/>
                <w:sz w:val="24"/>
                <w:szCs w:val="24"/>
              </w:rPr>
            </w:pPr>
          </w:p>
        </w:tc>
        <w:tc>
          <w:tcPr>
            <w:tcW w:w="2884" w:type="dxa"/>
            <w:vMerge/>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jc w:val="left"/>
              <w:rPr>
                <w:rFonts w:ascii="宋体" w:eastAsia="宋体" w:hAnsi="宋体" w:cs="宋体"/>
                <w:kern w:val="0"/>
                <w:sz w:val="24"/>
                <w:szCs w:val="24"/>
              </w:rPr>
            </w:pPr>
          </w:p>
        </w:tc>
        <w:tc>
          <w:tcPr>
            <w:tcW w:w="1505"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期货公司</w:t>
            </w:r>
          </w:p>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会员</w:t>
            </w:r>
          </w:p>
        </w:tc>
        <w:tc>
          <w:tcPr>
            <w:tcW w:w="1015"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非期货公司会员</w:t>
            </w:r>
          </w:p>
        </w:tc>
        <w:tc>
          <w:tcPr>
            <w:tcW w:w="774"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客户</w:t>
            </w:r>
          </w:p>
        </w:tc>
        <w:tc>
          <w:tcPr>
            <w:tcW w:w="907"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非期货</w:t>
            </w:r>
          </w:p>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公司会员</w:t>
            </w:r>
          </w:p>
        </w:tc>
        <w:tc>
          <w:tcPr>
            <w:tcW w:w="744"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客户</w:t>
            </w:r>
          </w:p>
        </w:tc>
        <w:tc>
          <w:tcPr>
            <w:tcW w:w="995"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非期货</w:t>
            </w:r>
          </w:p>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公司会员</w:t>
            </w:r>
          </w:p>
        </w:tc>
        <w:tc>
          <w:tcPr>
            <w:tcW w:w="647"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客户</w:t>
            </w:r>
          </w:p>
        </w:tc>
      </w:tr>
      <w:tr w:rsidR="00E10318" w:rsidRPr="00E10318" w:rsidTr="00E10318">
        <w:trPr>
          <w:cantSplit/>
          <w:trHeight w:val="649"/>
          <w:jc w:val="center"/>
        </w:trPr>
        <w:tc>
          <w:tcPr>
            <w:tcW w:w="741"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燃料油</w:t>
            </w:r>
          </w:p>
        </w:tc>
        <w:tc>
          <w:tcPr>
            <w:tcW w:w="1379"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≥10万手</w:t>
            </w:r>
          </w:p>
        </w:tc>
        <w:tc>
          <w:tcPr>
            <w:tcW w:w="1505"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25</w:t>
            </w:r>
          </w:p>
        </w:tc>
        <w:tc>
          <w:tcPr>
            <w:tcW w:w="1015"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500</w:t>
            </w:r>
          </w:p>
        </w:tc>
        <w:tc>
          <w:tcPr>
            <w:tcW w:w="774"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500</w:t>
            </w:r>
          </w:p>
        </w:tc>
        <w:tc>
          <w:tcPr>
            <w:tcW w:w="907"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300</w:t>
            </w:r>
          </w:p>
        </w:tc>
        <w:tc>
          <w:tcPr>
            <w:tcW w:w="744"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300</w:t>
            </w:r>
          </w:p>
        </w:tc>
        <w:tc>
          <w:tcPr>
            <w:tcW w:w="995"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100</w:t>
            </w:r>
          </w:p>
        </w:tc>
        <w:tc>
          <w:tcPr>
            <w:tcW w:w="647"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100</w:t>
            </w:r>
          </w:p>
        </w:tc>
      </w:tr>
    </w:tbl>
    <w:p w:rsidR="00E10318" w:rsidRPr="00E10318" w:rsidRDefault="00E10318" w:rsidP="00E10318">
      <w:pPr>
        <w:widowControl/>
        <w:spacing w:before="100" w:beforeAutospacing="1" w:after="100" w:afterAutospacing="1"/>
        <w:ind w:firstLineChars="200" w:firstLine="480"/>
        <w:jc w:val="left"/>
        <w:rPr>
          <w:rFonts w:ascii="宋体" w:eastAsia="宋体" w:hAnsi="宋体" w:cs="宋体"/>
          <w:kern w:val="0"/>
          <w:sz w:val="24"/>
          <w:szCs w:val="24"/>
        </w:rPr>
      </w:pPr>
      <w:r w:rsidRPr="00E10318">
        <w:rPr>
          <w:rFonts w:ascii="仿宋" w:eastAsia="仿宋" w:hAnsi="仿宋" w:cs="宋体" w:hint="eastAsia"/>
          <w:kern w:val="0"/>
          <w:sz w:val="24"/>
          <w:szCs w:val="24"/>
        </w:rPr>
        <w:t>注：表中某一期货合约持仓量为双向计算，</w:t>
      </w:r>
      <w:r w:rsidRPr="00E10318">
        <w:rPr>
          <w:rFonts w:ascii="仿宋" w:eastAsia="仿宋" w:hAnsi="仿宋" w:cs="宋体" w:hint="eastAsia"/>
          <w:bCs/>
          <w:kern w:val="0"/>
          <w:sz w:val="24"/>
          <w:szCs w:val="21"/>
        </w:rPr>
        <w:t>期货公司会员、非期货公司会员、客户的限仓比例与限仓数额为单向计算；期货公司会员的限仓比例为基数。</w:t>
      </w:r>
    </w:p>
    <w:p w:rsidR="00E10318" w:rsidRPr="00E10318" w:rsidRDefault="00E10318" w:rsidP="00E10318">
      <w:pPr>
        <w:widowControl/>
        <w:spacing w:before="100" w:beforeAutospacing="1" w:after="100" w:afterAutospacing="1"/>
        <w:jc w:val="left"/>
        <w:rPr>
          <w:rFonts w:ascii="宋体" w:eastAsia="宋体" w:hAnsi="宋体" w:cs="宋体"/>
          <w:kern w:val="0"/>
          <w:sz w:val="24"/>
          <w:szCs w:val="24"/>
        </w:rPr>
      </w:pPr>
      <w:r w:rsidRPr="00E10318">
        <w:rPr>
          <w:rFonts w:ascii="宋体" w:eastAsia="宋体" w:hAnsi="宋体" w:cs="宋体" w:hint="eastAsia"/>
          <w:kern w:val="0"/>
          <w:sz w:val="24"/>
          <w:szCs w:val="24"/>
        </w:rPr>
        <w:t> </w:t>
      </w:r>
    </w:p>
    <w:p w:rsidR="00E10318" w:rsidRPr="00E10318" w:rsidRDefault="00E10318" w:rsidP="00E10318">
      <w:pPr>
        <w:widowControl/>
        <w:spacing w:before="100" w:beforeAutospacing="1" w:after="100" w:afterAutospacing="1"/>
        <w:jc w:val="left"/>
        <w:rPr>
          <w:rFonts w:ascii="宋体" w:eastAsia="宋体" w:hAnsi="宋体" w:cs="宋体"/>
          <w:kern w:val="0"/>
          <w:sz w:val="24"/>
          <w:szCs w:val="24"/>
        </w:rPr>
      </w:pPr>
      <w:r w:rsidRPr="00E10318">
        <w:rPr>
          <w:rFonts w:ascii="宋体" w:eastAsia="宋体" w:hAnsi="宋体" w:cs="宋体" w:hint="eastAsia"/>
          <w:kern w:val="0"/>
          <w:sz w:val="24"/>
          <w:szCs w:val="24"/>
        </w:rPr>
        <w:t> </w:t>
      </w:r>
    </w:p>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
          <w:bCs/>
          <w:spacing w:val="-20"/>
          <w:kern w:val="0"/>
          <w:sz w:val="24"/>
          <w:szCs w:val="24"/>
        </w:rPr>
        <w:t>表三十</w:t>
      </w:r>
      <w:r w:rsidRPr="00E10318">
        <w:rPr>
          <w:rFonts w:ascii="宋体" w:eastAsia="宋体" w:hAnsi="宋体" w:cs="宋体" w:hint="eastAsia"/>
          <w:b/>
          <w:bCs/>
          <w:spacing w:val="-20"/>
          <w:kern w:val="0"/>
          <w:sz w:val="24"/>
          <w:szCs w:val="24"/>
        </w:rPr>
        <w:t> </w:t>
      </w:r>
      <w:r w:rsidRPr="00E10318">
        <w:rPr>
          <w:rFonts w:ascii="仿宋" w:eastAsia="仿宋" w:hAnsi="仿宋" w:cs="仿宋" w:hint="eastAsia"/>
          <w:b/>
          <w:bCs/>
          <w:spacing w:val="-20"/>
          <w:kern w:val="0"/>
          <w:sz w:val="24"/>
          <w:szCs w:val="24"/>
        </w:rPr>
        <w:t xml:space="preserve"> </w:t>
      </w:r>
      <w:r w:rsidRPr="00E10318">
        <w:rPr>
          <w:rFonts w:ascii="仿宋" w:eastAsia="仿宋" w:hAnsi="仿宋" w:cs="宋体" w:hint="eastAsia"/>
          <w:b/>
          <w:bCs/>
          <w:spacing w:val="-20"/>
          <w:kern w:val="0"/>
          <w:sz w:val="24"/>
          <w:szCs w:val="24"/>
        </w:rPr>
        <w:t>铅、镍、锡、天然橡胶、石油沥青、黄金、白银、热轧卷板期货合约在不同时期的限仓比例和限仓数额规定</w:t>
      </w:r>
    </w:p>
    <w:p w:rsidR="00E10318" w:rsidRPr="00E10318" w:rsidRDefault="00E10318" w:rsidP="00E10318">
      <w:pPr>
        <w:widowControl/>
        <w:spacing w:before="100" w:beforeAutospacing="1" w:after="100" w:afterAutospacing="1"/>
        <w:ind w:firstLineChars="1800" w:firstLine="4320"/>
        <w:jc w:val="right"/>
        <w:rPr>
          <w:rFonts w:ascii="宋体" w:eastAsia="宋体" w:hAnsi="宋体" w:cs="宋体"/>
          <w:kern w:val="0"/>
          <w:sz w:val="24"/>
          <w:szCs w:val="24"/>
        </w:rPr>
      </w:pPr>
      <w:r w:rsidRPr="00E10318">
        <w:rPr>
          <w:rFonts w:ascii="仿宋" w:eastAsia="仿宋" w:hAnsi="仿宋" w:cs="宋体" w:hint="eastAsia"/>
          <w:kern w:val="0"/>
          <w:sz w:val="24"/>
          <w:szCs w:val="24"/>
        </w:rPr>
        <w:t>（单位：手）</w:t>
      </w:r>
    </w:p>
    <w:tbl>
      <w:tblPr>
        <w:tblW w:w="8715" w:type="dxa"/>
        <w:jc w:val="center"/>
        <w:tblInd w:w="4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645"/>
        <w:gridCol w:w="783"/>
        <w:gridCol w:w="1795"/>
        <w:gridCol w:w="1508"/>
        <w:gridCol w:w="762"/>
        <w:gridCol w:w="1029"/>
        <w:gridCol w:w="550"/>
        <w:gridCol w:w="1102"/>
        <w:gridCol w:w="541"/>
      </w:tblGrid>
      <w:tr w:rsidR="00E10318" w:rsidRPr="00E10318" w:rsidTr="00E10318">
        <w:trPr>
          <w:cantSplit/>
          <w:trHeight w:val="737"/>
          <w:jc w:val="center"/>
        </w:trPr>
        <w:tc>
          <w:tcPr>
            <w:tcW w:w="645" w:type="dxa"/>
            <w:vMerge w:val="restart"/>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宋体" w:eastAsia="宋体" w:hAnsi="宋体" w:cs="宋体" w:hint="eastAsia"/>
                <w:kern w:val="0"/>
                <w:sz w:val="24"/>
                <w:szCs w:val="24"/>
              </w:rPr>
              <w:t> </w:t>
            </w:r>
          </w:p>
        </w:tc>
        <w:tc>
          <w:tcPr>
            <w:tcW w:w="2576" w:type="dxa"/>
            <w:gridSpan w:val="2"/>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合约挂牌至交割月份</w:t>
            </w:r>
          </w:p>
        </w:tc>
        <w:tc>
          <w:tcPr>
            <w:tcW w:w="2268" w:type="dxa"/>
            <w:gridSpan w:val="2"/>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合约挂牌至交割月前第二月的最后一个交易日</w:t>
            </w:r>
          </w:p>
        </w:tc>
        <w:tc>
          <w:tcPr>
            <w:tcW w:w="1578" w:type="dxa"/>
            <w:gridSpan w:val="2"/>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交割月前第一月</w:t>
            </w:r>
          </w:p>
        </w:tc>
        <w:tc>
          <w:tcPr>
            <w:tcW w:w="1642" w:type="dxa"/>
            <w:gridSpan w:val="2"/>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交割月份</w:t>
            </w:r>
          </w:p>
        </w:tc>
      </w:tr>
      <w:tr w:rsidR="00E10318" w:rsidRPr="00E10318" w:rsidTr="00E10318">
        <w:trPr>
          <w:cantSplit/>
          <w:trHeight w:val="483"/>
          <w:jc w:val="center"/>
        </w:trPr>
        <w:tc>
          <w:tcPr>
            <w:tcW w:w="645" w:type="dxa"/>
            <w:vMerge/>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jc w:val="left"/>
              <w:rPr>
                <w:rFonts w:ascii="宋体" w:eastAsia="宋体" w:hAnsi="宋体" w:cs="宋体"/>
                <w:kern w:val="0"/>
                <w:sz w:val="24"/>
                <w:szCs w:val="24"/>
              </w:rPr>
            </w:pPr>
          </w:p>
        </w:tc>
        <w:tc>
          <w:tcPr>
            <w:tcW w:w="782" w:type="dxa"/>
            <w:vMerge w:val="restart"/>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某一</w:t>
            </w:r>
          </w:p>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期货合约</w:t>
            </w:r>
          </w:p>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持仓量</w:t>
            </w:r>
          </w:p>
        </w:tc>
        <w:tc>
          <w:tcPr>
            <w:tcW w:w="1794"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限仓比例（</w:t>
            </w:r>
            <w:r w:rsidRPr="00E10318">
              <w:rPr>
                <w:rFonts w:ascii="Symbol" w:eastAsia="宋体" w:hAnsi="Symbol" w:cs="宋体"/>
                <w:kern w:val="0"/>
                <w:sz w:val="24"/>
                <w:szCs w:val="24"/>
              </w:rPr>
              <w:t></w:t>
            </w:r>
            <w:r w:rsidRPr="00E10318">
              <w:rPr>
                <w:rFonts w:ascii="仿宋" w:eastAsia="仿宋" w:hAnsi="仿宋" w:cs="宋体" w:hint="eastAsia"/>
                <w:kern w:val="0"/>
                <w:sz w:val="24"/>
                <w:szCs w:val="24"/>
              </w:rPr>
              <w:t>）</w:t>
            </w:r>
          </w:p>
        </w:tc>
        <w:tc>
          <w:tcPr>
            <w:tcW w:w="2268" w:type="dxa"/>
            <w:gridSpan w:val="2"/>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限仓数额（手）</w:t>
            </w:r>
          </w:p>
        </w:tc>
        <w:tc>
          <w:tcPr>
            <w:tcW w:w="1578" w:type="dxa"/>
            <w:gridSpan w:val="2"/>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限仓数额（手）</w:t>
            </w:r>
          </w:p>
        </w:tc>
        <w:tc>
          <w:tcPr>
            <w:tcW w:w="1642" w:type="dxa"/>
            <w:gridSpan w:val="2"/>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限仓数额（手）</w:t>
            </w:r>
          </w:p>
        </w:tc>
      </w:tr>
      <w:tr w:rsidR="00E10318" w:rsidRPr="00E10318" w:rsidTr="00E10318">
        <w:trPr>
          <w:cantSplit/>
          <w:trHeight w:val="697"/>
          <w:jc w:val="center"/>
        </w:trPr>
        <w:tc>
          <w:tcPr>
            <w:tcW w:w="645" w:type="dxa"/>
            <w:vMerge/>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jc w:val="left"/>
              <w:rPr>
                <w:rFonts w:ascii="宋体" w:eastAsia="宋体" w:hAnsi="宋体" w:cs="宋体"/>
                <w:kern w:val="0"/>
                <w:sz w:val="24"/>
                <w:szCs w:val="24"/>
              </w:rPr>
            </w:pPr>
          </w:p>
        </w:tc>
        <w:tc>
          <w:tcPr>
            <w:tcW w:w="2576" w:type="dxa"/>
            <w:vMerge/>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jc w:val="left"/>
              <w:rPr>
                <w:rFonts w:ascii="宋体" w:eastAsia="宋体" w:hAnsi="宋体" w:cs="宋体"/>
                <w:kern w:val="0"/>
                <w:sz w:val="24"/>
                <w:szCs w:val="24"/>
              </w:rPr>
            </w:pPr>
          </w:p>
        </w:tc>
        <w:tc>
          <w:tcPr>
            <w:tcW w:w="1794"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期货公司</w:t>
            </w:r>
          </w:p>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会员</w:t>
            </w:r>
          </w:p>
        </w:tc>
        <w:tc>
          <w:tcPr>
            <w:tcW w:w="1507"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非期货公司会员</w:t>
            </w:r>
          </w:p>
        </w:tc>
        <w:tc>
          <w:tcPr>
            <w:tcW w:w="761"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客户</w:t>
            </w:r>
          </w:p>
        </w:tc>
        <w:tc>
          <w:tcPr>
            <w:tcW w:w="1028"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非期货公司会员</w:t>
            </w:r>
          </w:p>
        </w:tc>
        <w:tc>
          <w:tcPr>
            <w:tcW w:w="550"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客户</w:t>
            </w:r>
          </w:p>
        </w:tc>
        <w:tc>
          <w:tcPr>
            <w:tcW w:w="1101"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非期货公司会员</w:t>
            </w:r>
          </w:p>
        </w:tc>
        <w:tc>
          <w:tcPr>
            <w:tcW w:w="541"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客户</w:t>
            </w:r>
          </w:p>
        </w:tc>
      </w:tr>
      <w:tr w:rsidR="00E10318" w:rsidRPr="00E10318" w:rsidTr="00E10318">
        <w:trPr>
          <w:cantSplit/>
          <w:trHeight w:val="649"/>
          <w:jc w:val="center"/>
        </w:trPr>
        <w:tc>
          <w:tcPr>
            <w:tcW w:w="645"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铅</w:t>
            </w:r>
          </w:p>
        </w:tc>
        <w:tc>
          <w:tcPr>
            <w:tcW w:w="782"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≥20万手</w:t>
            </w:r>
          </w:p>
        </w:tc>
        <w:tc>
          <w:tcPr>
            <w:tcW w:w="1794"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25</w:t>
            </w:r>
          </w:p>
        </w:tc>
        <w:tc>
          <w:tcPr>
            <w:tcW w:w="1507"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2500</w:t>
            </w:r>
          </w:p>
        </w:tc>
        <w:tc>
          <w:tcPr>
            <w:tcW w:w="761"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2500</w:t>
            </w:r>
          </w:p>
        </w:tc>
        <w:tc>
          <w:tcPr>
            <w:tcW w:w="1028"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1000</w:t>
            </w:r>
          </w:p>
        </w:tc>
        <w:tc>
          <w:tcPr>
            <w:tcW w:w="550"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1000</w:t>
            </w:r>
          </w:p>
        </w:tc>
        <w:tc>
          <w:tcPr>
            <w:tcW w:w="1101"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300</w:t>
            </w:r>
          </w:p>
        </w:tc>
        <w:tc>
          <w:tcPr>
            <w:tcW w:w="541"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300</w:t>
            </w:r>
          </w:p>
        </w:tc>
      </w:tr>
      <w:tr w:rsidR="00E10318" w:rsidRPr="00E10318" w:rsidTr="00E10318">
        <w:trPr>
          <w:cantSplit/>
          <w:trHeight w:val="649"/>
          <w:jc w:val="center"/>
        </w:trPr>
        <w:tc>
          <w:tcPr>
            <w:tcW w:w="645"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lastRenderedPageBreak/>
              <w:t>镍</w:t>
            </w:r>
          </w:p>
        </w:tc>
        <w:tc>
          <w:tcPr>
            <w:tcW w:w="782"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≥24万手</w:t>
            </w:r>
          </w:p>
        </w:tc>
        <w:tc>
          <w:tcPr>
            <w:tcW w:w="1794"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25</w:t>
            </w:r>
          </w:p>
        </w:tc>
        <w:tc>
          <w:tcPr>
            <w:tcW w:w="1507"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9000</w:t>
            </w:r>
          </w:p>
        </w:tc>
        <w:tc>
          <w:tcPr>
            <w:tcW w:w="761"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9000</w:t>
            </w:r>
          </w:p>
        </w:tc>
        <w:tc>
          <w:tcPr>
            <w:tcW w:w="1028"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3000</w:t>
            </w:r>
          </w:p>
        </w:tc>
        <w:tc>
          <w:tcPr>
            <w:tcW w:w="550"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3000</w:t>
            </w:r>
          </w:p>
        </w:tc>
        <w:tc>
          <w:tcPr>
            <w:tcW w:w="1101"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600</w:t>
            </w:r>
          </w:p>
        </w:tc>
        <w:tc>
          <w:tcPr>
            <w:tcW w:w="541"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600</w:t>
            </w:r>
          </w:p>
        </w:tc>
      </w:tr>
      <w:tr w:rsidR="00E10318" w:rsidRPr="00E10318" w:rsidTr="00E10318">
        <w:trPr>
          <w:cantSplit/>
          <w:trHeight w:val="649"/>
          <w:jc w:val="center"/>
        </w:trPr>
        <w:tc>
          <w:tcPr>
            <w:tcW w:w="645"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锡</w:t>
            </w:r>
          </w:p>
        </w:tc>
        <w:tc>
          <w:tcPr>
            <w:tcW w:w="782"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≥6万手</w:t>
            </w:r>
          </w:p>
        </w:tc>
        <w:tc>
          <w:tcPr>
            <w:tcW w:w="1794"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25</w:t>
            </w:r>
          </w:p>
        </w:tc>
        <w:tc>
          <w:tcPr>
            <w:tcW w:w="1507"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2000</w:t>
            </w:r>
          </w:p>
        </w:tc>
        <w:tc>
          <w:tcPr>
            <w:tcW w:w="761"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2000</w:t>
            </w:r>
          </w:p>
        </w:tc>
        <w:tc>
          <w:tcPr>
            <w:tcW w:w="1028"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600</w:t>
            </w:r>
          </w:p>
        </w:tc>
        <w:tc>
          <w:tcPr>
            <w:tcW w:w="550"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600</w:t>
            </w:r>
          </w:p>
        </w:tc>
        <w:tc>
          <w:tcPr>
            <w:tcW w:w="1101"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200</w:t>
            </w:r>
          </w:p>
        </w:tc>
        <w:tc>
          <w:tcPr>
            <w:tcW w:w="541"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200</w:t>
            </w:r>
          </w:p>
        </w:tc>
      </w:tr>
      <w:tr w:rsidR="00E10318" w:rsidRPr="00E10318" w:rsidTr="00E10318">
        <w:trPr>
          <w:cantSplit/>
          <w:trHeight w:val="649"/>
          <w:jc w:val="center"/>
        </w:trPr>
        <w:tc>
          <w:tcPr>
            <w:tcW w:w="645"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天然橡胶</w:t>
            </w:r>
          </w:p>
        </w:tc>
        <w:tc>
          <w:tcPr>
            <w:tcW w:w="782"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≥5万手</w:t>
            </w:r>
          </w:p>
        </w:tc>
        <w:tc>
          <w:tcPr>
            <w:tcW w:w="1794"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25</w:t>
            </w:r>
          </w:p>
        </w:tc>
        <w:tc>
          <w:tcPr>
            <w:tcW w:w="1507"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500</w:t>
            </w:r>
          </w:p>
        </w:tc>
        <w:tc>
          <w:tcPr>
            <w:tcW w:w="761"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500</w:t>
            </w:r>
          </w:p>
        </w:tc>
        <w:tc>
          <w:tcPr>
            <w:tcW w:w="1028"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150</w:t>
            </w:r>
          </w:p>
        </w:tc>
        <w:tc>
          <w:tcPr>
            <w:tcW w:w="550"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150</w:t>
            </w:r>
          </w:p>
        </w:tc>
        <w:tc>
          <w:tcPr>
            <w:tcW w:w="1101"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50</w:t>
            </w:r>
          </w:p>
        </w:tc>
        <w:tc>
          <w:tcPr>
            <w:tcW w:w="541"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50</w:t>
            </w:r>
          </w:p>
        </w:tc>
      </w:tr>
      <w:tr w:rsidR="00E10318" w:rsidRPr="00E10318" w:rsidTr="00E10318">
        <w:trPr>
          <w:cantSplit/>
          <w:trHeight w:val="649"/>
          <w:jc w:val="center"/>
        </w:trPr>
        <w:tc>
          <w:tcPr>
            <w:tcW w:w="645"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石油沥青</w:t>
            </w:r>
          </w:p>
        </w:tc>
        <w:tc>
          <w:tcPr>
            <w:tcW w:w="782"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≥30万手</w:t>
            </w:r>
          </w:p>
        </w:tc>
        <w:tc>
          <w:tcPr>
            <w:tcW w:w="1794"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25</w:t>
            </w:r>
          </w:p>
        </w:tc>
        <w:tc>
          <w:tcPr>
            <w:tcW w:w="1507"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8000</w:t>
            </w:r>
          </w:p>
        </w:tc>
        <w:tc>
          <w:tcPr>
            <w:tcW w:w="761"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8000</w:t>
            </w:r>
          </w:p>
        </w:tc>
        <w:tc>
          <w:tcPr>
            <w:tcW w:w="1028"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1500</w:t>
            </w:r>
          </w:p>
        </w:tc>
        <w:tc>
          <w:tcPr>
            <w:tcW w:w="550"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1500</w:t>
            </w:r>
          </w:p>
        </w:tc>
        <w:tc>
          <w:tcPr>
            <w:tcW w:w="1101"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500</w:t>
            </w:r>
          </w:p>
        </w:tc>
        <w:tc>
          <w:tcPr>
            <w:tcW w:w="541"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500</w:t>
            </w:r>
          </w:p>
        </w:tc>
      </w:tr>
      <w:tr w:rsidR="00E10318" w:rsidRPr="00E10318" w:rsidTr="00E10318">
        <w:trPr>
          <w:cantSplit/>
          <w:trHeight w:val="649"/>
          <w:jc w:val="center"/>
        </w:trPr>
        <w:tc>
          <w:tcPr>
            <w:tcW w:w="645"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黄金</w:t>
            </w:r>
          </w:p>
        </w:tc>
        <w:tc>
          <w:tcPr>
            <w:tcW w:w="782"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≥16万手</w:t>
            </w:r>
          </w:p>
        </w:tc>
        <w:tc>
          <w:tcPr>
            <w:tcW w:w="1794"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25</w:t>
            </w:r>
          </w:p>
        </w:tc>
        <w:tc>
          <w:tcPr>
            <w:tcW w:w="1507"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3000</w:t>
            </w:r>
          </w:p>
        </w:tc>
        <w:tc>
          <w:tcPr>
            <w:tcW w:w="761"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3000</w:t>
            </w:r>
          </w:p>
        </w:tc>
        <w:tc>
          <w:tcPr>
            <w:tcW w:w="1028"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900</w:t>
            </w:r>
          </w:p>
        </w:tc>
        <w:tc>
          <w:tcPr>
            <w:tcW w:w="550"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900</w:t>
            </w:r>
          </w:p>
        </w:tc>
        <w:tc>
          <w:tcPr>
            <w:tcW w:w="1101"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300</w:t>
            </w:r>
          </w:p>
        </w:tc>
        <w:tc>
          <w:tcPr>
            <w:tcW w:w="541" w:type="dxa"/>
            <w:tcBorders>
              <w:top w:val="single" w:sz="6" w:space="0" w:color="auto"/>
              <w:left w:val="single" w:sz="6" w:space="0" w:color="auto"/>
              <w:bottom w:val="single" w:sz="6" w:space="0" w:color="auto"/>
              <w:right w:val="single" w:sz="6"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kern w:val="0"/>
                <w:sz w:val="24"/>
                <w:szCs w:val="24"/>
              </w:rPr>
              <w:t>300</w:t>
            </w:r>
          </w:p>
        </w:tc>
      </w:tr>
      <w:tr w:rsidR="00E10318" w:rsidRPr="00E10318" w:rsidTr="00E10318">
        <w:trPr>
          <w:cantSplit/>
          <w:trHeight w:val="649"/>
          <w:jc w:val="center"/>
        </w:trPr>
        <w:tc>
          <w:tcPr>
            <w:tcW w:w="645"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白银</w:t>
            </w:r>
          </w:p>
        </w:tc>
        <w:tc>
          <w:tcPr>
            <w:tcW w:w="782"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≥30万手</w:t>
            </w:r>
          </w:p>
        </w:tc>
        <w:tc>
          <w:tcPr>
            <w:tcW w:w="1794"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25</w:t>
            </w:r>
          </w:p>
        </w:tc>
        <w:tc>
          <w:tcPr>
            <w:tcW w:w="1507"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6000</w:t>
            </w:r>
          </w:p>
        </w:tc>
        <w:tc>
          <w:tcPr>
            <w:tcW w:w="761"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6000</w:t>
            </w:r>
          </w:p>
        </w:tc>
        <w:tc>
          <w:tcPr>
            <w:tcW w:w="1028"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1800</w:t>
            </w:r>
          </w:p>
        </w:tc>
        <w:tc>
          <w:tcPr>
            <w:tcW w:w="550"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1800</w:t>
            </w:r>
          </w:p>
        </w:tc>
        <w:tc>
          <w:tcPr>
            <w:tcW w:w="1101"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600</w:t>
            </w:r>
          </w:p>
        </w:tc>
        <w:tc>
          <w:tcPr>
            <w:tcW w:w="541"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600</w:t>
            </w:r>
          </w:p>
        </w:tc>
      </w:tr>
      <w:tr w:rsidR="00E10318" w:rsidRPr="00E10318" w:rsidTr="00E10318">
        <w:trPr>
          <w:cantSplit/>
          <w:trHeight w:val="649"/>
          <w:jc w:val="center"/>
        </w:trPr>
        <w:tc>
          <w:tcPr>
            <w:tcW w:w="645" w:type="dxa"/>
            <w:tcBorders>
              <w:top w:val="nil"/>
              <w:left w:val="single" w:sz="8" w:space="0" w:color="auto"/>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热轧卷板</w:t>
            </w:r>
          </w:p>
        </w:tc>
        <w:tc>
          <w:tcPr>
            <w:tcW w:w="782"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≥360万手</w:t>
            </w:r>
          </w:p>
        </w:tc>
        <w:tc>
          <w:tcPr>
            <w:tcW w:w="1794"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25</w:t>
            </w:r>
          </w:p>
        </w:tc>
        <w:tc>
          <w:tcPr>
            <w:tcW w:w="1507"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180000</w:t>
            </w:r>
          </w:p>
        </w:tc>
        <w:tc>
          <w:tcPr>
            <w:tcW w:w="761"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180000</w:t>
            </w:r>
          </w:p>
        </w:tc>
        <w:tc>
          <w:tcPr>
            <w:tcW w:w="1028"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9000</w:t>
            </w:r>
          </w:p>
        </w:tc>
        <w:tc>
          <w:tcPr>
            <w:tcW w:w="550"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9000</w:t>
            </w:r>
          </w:p>
        </w:tc>
        <w:tc>
          <w:tcPr>
            <w:tcW w:w="1101"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1800</w:t>
            </w:r>
          </w:p>
        </w:tc>
        <w:tc>
          <w:tcPr>
            <w:tcW w:w="541" w:type="dxa"/>
            <w:tcBorders>
              <w:top w:val="nil"/>
              <w:left w:val="nil"/>
              <w:bottom w:val="single" w:sz="8" w:space="0" w:color="auto"/>
              <w:right w:val="single" w:sz="8" w:space="0" w:color="auto"/>
            </w:tcBorders>
            <w:vAlign w:val="center"/>
            <w:hideMark/>
          </w:tcPr>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Cs/>
                <w:kern w:val="0"/>
                <w:sz w:val="24"/>
              </w:rPr>
              <w:t>1800</w:t>
            </w:r>
          </w:p>
        </w:tc>
      </w:tr>
    </w:tbl>
    <w:p w:rsidR="00E10318" w:rsidRPr="00E10318" w:rsidRDefault="00E10318" w:rsidP="00E10318">
      <w:pPr>
        <w:widowControl/>
        <w:spacing w:before="100" w:beforeAutospacing="1" w:after="100" w:afterAutospacing="1"/>
        <w:ind w:firstLineChars="200" w:firstLine="480"/>
        <w:jc w:val="left"/>
        <w:rPr>
          <w:rFonts w:ascii="宋体" w:eastAsia="宋体" w:hAnsi="宋体" w:cs="宋体"/>
          <w:kern w:val="0"/>
          <w:sz w:val="24"/>
          <w:szCs w:val="24"/>
        </w:rPr>
      </w:pPr>
      <w:r w:rsidRPr="00E10318">
        <w:rPr>
          <w:rFonts w:ascii="仿宋" w:eastAsia="仿宋" w:hAnsi="仿宋" w:cs="宋体" w:hint="eastAsia"/>
          <w:kern w:val="0"/>
          <w:sz w:val="24"/>
          <w:szCs w:val="24"/>
        </w:rPr>
        <w:t>注：表中某一期货合约持仓量为双向计算，</w:t>
      </w:r>
      <w:r w:rsidRPr="00E10318">
        <w:rPr>
          <w:rFonts w:ascii="仿宋" w:eastAsia="仿宋" w:hAnsi="仿宋" w:cs="宋体" w:hint="eastAsia"/>
          <w:bCs/>
          <w:kern w:val="0"/>
          <w:sz w:val="24"/>
          <w:szCs w:val="21"/>
        </w:rPr>
        <w:t>期货公司会员、非期货公司会员、客户的限仓比例与限仓数额为单向计算；期货公司会员的限仓比例为基数。</w:t>
      </w:r>
    </w:p>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宋体" w:eastAsia="宋体" w:hAnsi="宋体" w:cs="宋体" w:hint="eastAsia"/>
          <w:b/>
          <w:bCs/>
          <w:spacing w:val="-20"/>
          <w:kern w:val="0"/>
          <w:sz w:val="24"/>
          <w:szCs w:val="24"/>
        </w:rPr>
        <w:t>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第十九条 交易所可以根据</w:t>
      </w:r>
      <w:r w:rsidRPr="00E10318">
        <w:rPr>
          <w:rFonts w:ascii="仿宋" w:eastAsia="仿宋" w:hAnsi="仿宋" w:cs="仿宋_GB2312" w:hint="eastAsia"/>
          <w:kern w:val="0"/>
          <w:sz w:val="32"/>
          <w:szCs w:val="32"/>
        </w:rPr>
        <w:t>期货公司会员的净资产和经营情况调整其持仓限额。</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持仓限额=基数×（1+信用系数+业务系数）</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基数: 是</w:t>
      </w:r>
      <w:r w:rsidRPr="00E10318">
        <w:rPr>
          <w:rFonts w:ascii="仿宋" w:eastAsia="仿宋" w:hAnsi="仿宋" w:cs="仿宋_GB2312" w:hint="eastAsia"/>
          <w:kern w:val="0"/>
          <w:sz w:val="32"/>
          <w:szCs w:val="32"/>
        </w:rPr>
        <w:t>期货公司会员持仓限额的最低水平，由交易所规定（见第十八条表二十八、表二十九、表三十）。</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信用系数: 以</w:t>
      </w:r>
      <w:r w:rsidRPr="00E10318">
        <w:rPr>
          <w:rFonts w:ascii="仿宋" w:eastAsia="仿宋" w:hAnsi="仿宋" w:cs="仿宋_GB2312" w:hint="eastAsia"/>
          <w:kern w:val="0"/>
          <w:sz w:val="32"/>
          <w:szCs w:val="32"/>
        </w:rPr>
        <w:t>期货公司会员净资产3000万元为底数（此时信用系数为0），在此基础上，每增加500万元净资产，则信用系数相应增加0.1，信用系数最大值不得超过2。</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业务系数:</w:t>
      </w:r>
      <w:r w:rsidRPr="00E10318">
        <w:rPr>
          <w:rFonts w:ascii="仿宋" w:eastAsia="仿宋" w:hAnsi="仿宋" w:cs="仿宋_GB2312" w:hint="eastAsia"/>
          <w:kern w:val="0"/>
          <w:sz w:val="32"/>
          <w:szCs w:val="32"/>
        </w:rPr>
        <w:t>期货公司会员业务系数暂定为五档。以年交易金额80亿元为底数（此时业务系数为0），在此基础上，期货公司会员年交易金额达到规定水平，则相应提高其业务系数。业务系数的最大值不得超过1（见表三十一）。</w:t>
      </w:r>
    </w:p>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宋体" w:eastAsia="宋体" w:hAnsi="宋体" w:cs="宋体" w:hint="eastAsia"/>
          <w:b/>
          <w:bCs/>
          <w:spacing w:val="-20"/>
          <w:kern w:val="0"/>
          <w:sz w:val="24"/>
          <w:szCs w:val="24"/>
        </w:rPr>
        <w:lastRenderedPageBreak/>
        <w:t> </w:t>
      </w:r>
    </w:p>
    <w:p w:rsidR="00E10318" w:rsidRPr="00E10318" w:rsidRDefault="00E10318" w:rsidP="00E10318">
      <w:pPr>
        <w:widowControl/>
        <w:spacing w:before="100" w:beforeAutospacing="1" w:after="100" w:afterAutospacing="1"/>
        <w:jc w:val="center"/>
        <w:rPr>
          <w:rFonts w:ascii="宋体" w:eastAsia="宋体" w:hAnsi="宋体" w:cs="宋体"/>
          <w:kern w:val="0"/>
          <w:sz w:val="24"/>
          <w:szCs w:val="24"/>
        </w:rPr>
      </w:pPr>
      <w:r w:rsidRPr="00E10318">
        <w:rPr>
          <w:rFonts w:ascii="仿宋" w:eastAsia="仿宋" w:hAnsi="仿宋" w:cs="宋体" w:hint="eastAsia"/>
          <w:b/>
          <w:bCs/>
          <w:spacing w:val="-20"/>
          <w:kern w:val="0"/>
          <w:sz w:val="24"/>
          <w:szCs w:val="24"/>
        </w:rPr>
        <w:t>表三十一</w:t>
      </w:r>
    </w:p>
    <w:tbl>
      <w:tblPr>
        <w:tblW w:w="0" w:type="auto"/>
        <w:tblInd w:w="108" w:type="dxa"/>
        <w:tblLook w:val="04A0"/>
      </w:tblPr>
      <w:tblGrid>
        <w:gridCol w:w="1105"/>
        <w:gridCol w:w="4731"/>
        <w:gridCol w:w="2578"/>
      </w:tblGrid>
      <w:tr w:rsidR="00E10318" w:rsidRPr="00E10318" w:rsidTr="00E10318">
        <w:trPr>
          <w:trHeight w:val="232"/>
        </w:trPr>
        <w:tc>
          <w:tcPr>
            <w:tcW w:w="1112" w:type="dxa"/>
            <w:tcBorders>
              <w:top w:val="single" w:sz="8" w:space="0" w:color="000000"/>
              <w:left w:val="single" w:sz="8" w:space="0" w:color="000000"/>
              <w:bottom w:val="single" w:sz="8" w:space="0" w:color="000000"/>
              <w:right w:val="single" w:sz="8" w:space="0" w:color="000000"/>
            </w:tcBorders>
            <w:vAlign w:val="center"/>
            <w:hideMark/>
          </w:tcPr>
          <w:p w:rsidR="00E10318" w:rsidRPr="00E10318" w:rsidRDefault="00E10318" w:rsidP="00E10318">
            <w:pPr>
              <w:widowControl/>
              <w:adjustRightInd w:val="0"/>
              <w:spacing w:before="100" w:beforeAutospacing="1" w:after="100" w:afterAutospacing="1" w:line="520" w:lineRule="exact"/>
              <w:jc w:val="center"/>
              <w:rPr>
                <w:rFonts w:ascii="宋体" w:eastAsia="宋体" w:hAnsi="宋体" w:cs="宋体"/>
                <w:kern w:val="0"/>
                <w:sz w:val="24"/>
                <w:szCs w:val="24"/>
              </w:rPr>
            </w:pPr>
            <w:r w:rsidRPr="00E10318">
              <w:rPr>
                <w:rFonts w:ascii="仿宋" w:eastAsia="仿宋" w:hAnsi="仿宋" w:cs="宋体" w:hint="eastAsia"/>
                <w:spacing w:val="8"/>
                <w:kern w:val="0"/>
                <w:sz w:val="24"/>
                <w:szCs w:val="24"/>
              </w:rPr>
              <w:t>档次</w:t>
            </w:r>
          </w:p>
        </w:tc>
        <w:tc>
          <w:tcPr>
            <w:tcW w:w="4769" w:type="dxa"/>
            <w:tcBorders>
              <w:top w:val="single" w:sz="8" w:space="0" w:color="000000"/>
              <w:left w:val="nil"/>
              <w:bottom w:val="single" w:sz="8" w:space="0" w:color="000000"/>
              <w:right w:val="single" w:sz="8" w:space="0" w:color="000000"/>
            </w:tcBorders>
            <w:vAlign w:val="center"/>
            <w:hideMark/>
          </w:tcPr>
          <w:p w:rsidR="00E10318" w:rsidRPr="00E10318" w:rsidRDefault="00E10318" w:rsidP="00E10318">
            <w:pPr>
              <w:widowControl/>
              <w:adjustRightInd w:val="0"/>
              <w:spacing w:before="100" w:beforeAutospacing="1" w:after="100" w:afterAutospacing="1" w:line="520" w:lineRule="exact"/>
              <w:jc w:val="center"/>
              <w:rPr>
                <w:rFonts w:ascii="宋体" w:eastAsia="宋体" w:hAnsi="宋体" w:cs="宋体"/>
                <w:kern w:val="0"/>
                <w:sz w:val="24"/>
                <w:szCs w:val="24"/>
              </w:rPr>
            </w:pPr>
            <w:r w:rsidRPr="00E10318">
              <w:rPr>
                <w:rFonts w:ascii="仿宋" w:eastAsia="仿宋" w:hAnsi="仿宋" w:cs="宋体" w:hint="eastAsia"/>
                <w:spacing w:val="8"/>
                <w:kern w:val="0"/>
                <w:sz w:val="24"/>
                <w:szCs w:val="24"/>
              </w:rPr>
              <w:t>年交易金额（C1，亿元）</w:t>
            </w:r>
          </w:p>
        </w:tc>
        <w:tc>
          <w:tcPr>
            <w:tcW w:w="2597" w:type="dxa"/>
            <w:tcBorders>
              <w:top w:val="single" w:sz="8" w:space="0" w:color="000000"/>
              <w:left w:val="nil"/>
              <w:bottom w:val="single" w:sz="8" w:space="0" w:color="000000"/>
              <w:right w:val="single" w:sz="8" w:space="0" w:color="000000"/>
            </w:tcBorders>
            <w:vAlign w:val="center"/>
            <w:hideMark/>
          </w:tcPr>
          <w:p w:rsidR="00E10318" w:rsidRPr="00E10318" w:rsidRDefault="00E10318" w:rsidP="00E10318">
            <w:pPr>
              <w:widowControl/>
              <w:adjustRightInd w:val="0"/>
              <w:spacing w:before="100" w:beforeAutospacing="1" w:after="100" w:afterAutospacing="1" w:line="520" w:lineRule="exact"/>
              <w:jc w:val="center"/>
              <w:rPr>
                <w:rFonts w:ascii="宋体" w:eastAsia="宋体" w:hAnsi="宋体" w:cs="宋体"/>
                <w:kern w:val="0"/>
                <w:sz w:val="24"/>
                <w:szCs w:val="24"/>
              </w:rPr>
            </w:pPr>
            <w:r w:rsidRPr="00E10318">
              <w:rPr>
                <w:rFonts w:ascii="仿宋" w:eastAsia="仿宋" w:hAnsi="仿宋" w:cs="宋体" w:hint="eastAsia"/>
                <w:spacing w:val="8"/>
                <w:kern w:val="0"/>
                <w:sz w:val="24"/>
                <w:szCs w:val="24"/>
              </w:rPr>
              <w:t>业务系数</w:t>
            </w:r>
          </w:p>
        </w:tc>
      </w:tr>
      <w:tr w:rsidR="00E10318" w:rsidRPr="00E10318" w:rsidTr="00E10318">
        <w:trPr>
          <w:trHeight w:val="133"/>
        </w:trPr>
        <w:tc>
          <w:tcPr>
            <w:tcW w:w="1112" w:type="dxa"/>
            <w:tcBorders>
              <w:top w:val="nil"/>
              <w:left w:val="single" w:sz="8" w:space="0" w:color="000000"/>
              <w:bottom w:val="single" w:sz="8" w:space="0" w:color="000000"/>
              <w:right w:val="single" w:sz="8" w:space="0" w:color="000000"/>
            </w:tcBorders>
            <w:vAlign w:val="center"/>
            <w:hideMark/>
          </w:tcPr>
          <w:p w:rsidR="00E10318" w:rsidRPr="00E10318" w:rsidRDefault="00E10318" w:rsidP="00E10318">
            <w:pPr>
              <w:widowControl/>
              <w:adjustRightInd w:val="0"/>
              <w:spacing w:before="100" w:beforeAutospacing="1" w:after="100" w:afterAutospacing="1" w:line="133" w:lineRule="atLeast"/>
              <w:jc w:val="center"/>
              <w:rPr>
                <w:rFonts w:ascii="宋体" w:eastAsia="宋体" w:hAnsi="宋体" w:cs="宋体"/>
                <w:kern w:val="0"/>
                <w:sz w:val="24"/>
                <w:szCs w:val="24"/>
              </w:rPr>
            </w:pPr>
            <w:r w:rsidRPr="00E10318">
              <w:rPr>
                <w:rFonts w:ascii="仿宋" w:eastAsia="仿宋" w:hAnsi="仿宋" w:cs="宋体" w:hint="eastAsia"/>
                <w:spacing w:val="8"/>
                <w:kern w:val="0"/>
                <w:sz w:val="24"/>
                <w:szCs w:val="24"/>
              </w:rPr>
              <w:t>1</w:t>
            </w:r>
          </w:p>
        </w:tc>
        <w:tc>
          <w:tcPr>
            <w:tcW w:w="4769" w:type="dxa"/>
            <w:tcBorders>
              <w:top w:val="single" w:sz="6" w:space="0" w:color="000000"/>
              <w:left w:val="single" w:sz="6" w:space="0" w:color="000000"/>
              <w:bottom w:val="single" w:sz="6" w:space="0" w:color="000000"/>
              <w:right w:val="single" w:sz="6" w:space="0" w:color="000000"/>
            </w:tcBorders>
            <w:vAlign w:val="center"/>
            <w:hideMark/>
          </w:tcPr>
          <w:p w:rsidR="00E10318" w:rsidRPr="00E10318" w:rsidRDefault="00E10318" w:rsidP="00E10318">
            <w:pPr>
              <w:widowControl/>
              <w:adjustRightInd w:val="0"/>
              <w:spacing w:before="100" w:beforeAutospacing="1" w:after="100" w:afterAutospacing="1" w:line="133" w:lineRule="atLeast"/>
              <w:jc w:val="center"/>
              <w:rPr>
                <w:rFonts w:ascii="宋体" w:eastAsia="宋体" w:hAnsi="宋体" w:cs="宋体"/>
                <w:kern w:val="0"/>
                <w:sz w:val="24"/>
                <w:szCs w:val="24"/>
              </w:rPr>
            </w:pPr>
            <w:r w:rsidRPr="00E10318">
              <w:rPr>
                <w:rFonts w:ascii="仿宋" w:eastAsia="仿宋" w:hAnsi="仿宋" w:cs="宋体" w:hint="eastAsia"/>
                <w:spacing w:val="8"/>
                <w:kern w:val="0"/>
                <w:sz w:val="24"/>
                <w:szCs w:val="24"/>
              </w:rPr>
              <w:t>C1 ≤ 80</w:t>
            </w:r>
          </w:p>
        </w:tc>
        <w:tc>
          <w:tcPr>
            <w:tcW w:w="2597" w:type="dxa"/>
            <w:tcBorders>
              <w:top w:val="single" w:sz="6" w:space="0" w:color="000000"/>
              <w:left w:val="single" w:sz="6" w:space="0" w:color="000000"/>
              <w:bottom w:val="single" w:sz="6" w:space="0" w:color="000000"/>
              <w:right w:val="single" w:sz="6" w:space="0" w:color="000000"/>
            </w:tcBorders>
            <w:vAlign w:val="center"/>
            <w:hideMark/>
          </w:tcPr>
          <w:p w:rsidR="00E10318" w:rsidRPr="00E10318" w:rsidRDefault="00E10318" w:rsidP="00E10318">
            <w:pPr>
              <w:widowControl/>
              <w:adjustRightInd w:val="0"/>
              <w:spacing w:before="100" w:beforeAutospacing="1" w:after="100" w:afterAutospacing="1" w:line="133" w:lineRule="atLeast"/>
              <w:jc w:val="center"/>
              <w:rPr>
                <w:rFonts w:ascii="宋体" w:eastAsia="宋体" w:hAnsi="宋体" w:cs="宋体"/>
                <w:kern w:val="0"/>
                <w:sz w:val="24"/>
                <w:szCs w:val="24"/>
              </w:rPr>
            </w:pPr>
            <w:r w:rsidRPr="00E10318">
              <w:rPr>
                <w:rFonts w:ascii="仿宋" w:eastAsia="仿宋" w:hAnsi="仿宋" w:cs="宋体" w:hint="eastAsia"/>
                <w:spacing w:val="8"/>
                <w:kern w:val="0"/>
                <w:sz w:val="24"/>
                <w:szCs w:val="24"/>
              </w:rPr>
              <w:t>0</w:t>
            </w:r>
          </w:p>
        </w:tc>
      </w:tr>
      <w:tr w:rsidR="00E10318" w:rsidRPr="00E10318" w:rsidTr="00E10318">
        <w:trPr>
          <w:trHeight w:val="302"/>
        </w:trPr>
        <w:tc>
          <w:tcPr>
            <w:tcW w:w="1112" w:type="dxa"/>
            <w:tcBorders>
              <w:top w:val="nil"/>
              <w:left w:val="single" w:sz="8" w:space="0" w:color="000000"/>
              <w:bottom w:val="single" w:sz="8" w:space="0" w:color="000000"/>
              <w:right w:val="single" w:sz="8" w:space="0" w:color="000000"/>
            </w:tcBorders>
            <w:vAlign w:val="center"/>
            <w:hideMark/>
          </w:tcPr>
          <w:p w:rsidR="00E10318" w:rsidRPr="00E10318" w:rsidRDefault="00E10318" w:rsidP="00E10318">
            <w:pPr>
              <w:widowControl/>
              <w:adjustRightInd w:val="0"/>
              <w:spacing w:before="100" w:beforeAutospacing="1" w:after="100" w:afterAutospacing="1" w:line="520" w:lineRule="exact"/>
              <w:jc w:val="center"/>
              <w:rPr>
                <w:rFonts w:ascii="宋体" w:eastAsia="宋体" w:hAnsi="宋体" w:cs="宋体"/>
                <w:kern w:val="0"/>
                <w:sz w:val="24"/>
                <w:szCs w:val="24"/>
              </w:rPr>
            </w:pPr>
            <w:r w:rsidRPr="00E10318">
              <w:rPr>
                <w:rFonts w:ascii="仿宋" w:eastAsia="仿宋" w:hAnsi="仿宋" w:cs="宋体" w:hint="eastAsia"/>
                <w:spacing w:val="8"/>
                <w:kern w:val="0"/>
                <w:sz w:val="24"/>
                <w:szCs w:val="24"/>
              </w:rPr>
              <w:t>2</w:t>
            </w:r>
          </w:p>
        </w:tc>
        <w:tc>
          <w:tcPr>
            <w:tcW w:w="4769" w:type="dxa"/>
            <w:tcBorders>
              <w:top w:val="single" w:sz="6" w:space="0" w:color="000000"/>
              <w:left w:val="single" w:sz="6" w:space="0" w:color="000000"/>
              <w:bottom w:val="single" w:sz="6" w:space="0" w:color="000000"/>
              <w:right w:val="single" w:sz="6" w:space="0" w:color="000000"/>
            </w:tcBorders>
            <w:vAlign w:val="center"/>
            <w:hideMark/>
          </w:tcPr>
          <w:p w:rsidR="00E10318" w:rsidRPr="00E10318" w:rsidRDefault="00E10318" w:rsidP="00E10318">
            <w:pPr>
              <w:widowControl/>
              <w:adjustRightInd w:val="0"/>
              <w:spacing w:before="100" w:beforeAutospacing="1" w:after="100" w:afterAutospacing="1" w:line="520" w:lineRule="exact"/>
              <w:jc w:val="center"/>
              <w:rPr>
                <w:rFonts w:ascii="宋体" w:eastAsia="宋体" w:hAnsi="宋体" w:cs="宋体"/>
                <w:kern w:val="0"/>
                <w:sz w:val="24"/>
                <w:szCs w:val="24"/>
              </w:rPr>
            </w:pPr>
            <w:r w:rsidRPr="00E10318">
              <w:rPr>
                <w:rFonts w:ascii="仿宋" w:eastAsia="仿宋" w:hAnsi="仿宋" w:cs="宋体" w:hint="eastAsia"/>
                <w:spacing w:val="8"/>
                <w:kern w:val="0"/>
                <w:sz w:val="24"/>
                <w:szCs w:val="24"/>
              </w:rPr>
              <w:t>80 ＜ C1 ≤ 160</w:t>
            </w:r>
          </w:p>
        </w:tc>
        <w:tc>
          <w:tcPr>
            <w:tcW w:w="2597" w:type="dxa"/>
            <w:tcBorders>
              <w:top w:val="single" w:sz="6" w:space="0" w:color="000000"/>
              <w:left w:val="single" w:sz="6" w:space="0" w:color="000000"/>
              <w:bottom w:val="single" w:sz="6" w:space="0" w:color="000000"/>
              <w:right w:val="single" w:sz="6" w:space="0" w:color="000000"/>
            </w:tcBorders>
            <w:vAlign w:val="center"/>
            <w:hideMark/>
          </w:tcPr>
          <w:p w:rsidR="00E10318" w:rsidRPr="00E10318" w:rsidRDefault="00E10318" w:rsidP="00E10318">
            <w:pPr>
              <w:widowControl/>
              <w:adjustRightInd w:val="0"/>
              <w:spacing w:before="100" w:beforeAutospacing="1" w:after="100" w:afterAutospacing="1" w:line="520" w:lineRule="exact"/>
              <w:jc w:val="center"/>
              <w:rPr>
                <w:rFonts w:ascii="宋体" w:eastAsia="宋体" w:hAnsi="宋体" w:cs="宋体"/>
                <w:kern w:val="0"/>
                <w:sz w:val="24"/>
                <w:szCs w:val="24"/>
              </w:rPr>
            </w:pPr>
            <w:r w:rsidRPr="00E10318">
              <w:rPr>
                <w:rFonts w:ascii="仿宋" w:eastAsia="仿宋" w:hAnsi="仿宋" w:cs="宋体" w:hint="eastAsia"/>
                <w:spacing w:val="8"/>
                <w:kern w:val="0"/>
                <w:sz w:val="24"/>
                <w:szCs w:val="24"/>
              </w:rPr>
              <w:t>0.25</w:t>
            </w:r>
          </w:p>
        </w:tc>
      </w:tr>
      <w:tr w:rsidR="00E10318" w:rsidRPr="00E10318" w:rsidTr="00E10318">
        <w:trPr>
          <w:trHeight w:val="170"/>
        </w:trPr>
        <w:tc>
          <w:tcPr>
            <w:tcW w:w="1112" w:type="dxa"/>
            <w:tcBorders>
              <w:top w:val="nil"/>
              <w:left w:val="single" w:sz="8" w:space="0" w:color="000000"/>
              <w:bottom w:val="single" w:sz="8" w:space="0" w:color="000000"/>
              <w:right w:val="single" w:sz="8" w:space="0" w:color="000000"/>
            </w:tcBorders>
            <w:vAlign w:val="center"/>
            <w:hideMark/>
          </w:tcPr>
          <w:p w:rsidR="00E10318" w:rsidRPr="00E10318" w:rsidRDefault="00E10318" w:rsidP="00E10318">
            <w:pPr>
              <w:widowControl/>
              <w:adjustRightInd w:val="0"/>
              <w:spacing w:before="100" w:beforeAutospacing="1" w:after="100" w:afterAutospacing="1" w:line="170" w:lineRule="atLeast"/>
              <w:jc w:val="center"/>
              <w:rPr>
                <w:rFonts w:ascii="宋体" w:eastAsia="宋体" w:hAnsi="宋体" w:cs="宋体"/>
                <w:kern w:val="0"/>
                <w:sz w:val="24"/>
                <w:szCs w:val="24"/>
              </w:rPr>
            </w:pPr>
            <w:r w:rsidRPr="00E10318">
              <w:rPr>
                <w:rFonts w:ascii="仿宋" w:eastAsia="仿宋" w:hAnsi="仿宋" w:cs="宋体" w:hint="eastAsia"/>
                <w:spacing w:val="8"/>
                <w:kern w:val="0"/>
                <w:sz w:val="24"/>
                <w:szCs w:val="24"/>
              </w:rPr>
              <w:t>3</w:t>
            </w:r>
          </w:p>
        </w:tc>
        <w:tc>
          <w:tcPr>
            <w:tcW w:w="4769" w:type="dxa"/>
            <w:tcBorders>
              <w:top w:val="single" w:sz="6" w:space="0" w:color="000000"/>
              <w:left w:val="single" w:sz="6" w:space="0" w:color="000000"/>
              <w:bottom w:val="single" w:sz="6" w:space="0" w:color="000000"/>
              <w:right w:val="single" w:sz="6" w:space="0" w:color="000000"/>
            </w:tcBorders>
            <w:vAlign w:val="center"/>
            <w:hideMark/>
          </w:tcPr>
          <w:p w:rsidR="00E10318" w:rsidRPr="00E10318" w:rsidRDefault="00E10318" w:rsidP="00E10318">
            <w:pPr>
              <w:widowControl/>
              <w:adjustRightInd w:val="0"/>
              <w:spacing w:before="100" w:beforeAutospacing="1" w:after="100" w:afterAutospacing="1" w:line="170" w:lineRule="atLeast"/>
              <w:jc w:val="center"/>
              <w:rPr>
                <w:rFonts w:ascii="宋体" w:eastAsia="宋体" w:hAnsi="宋体" w:cs="宋体"/>
                <w:kern w:val="0"/>
                <w:sz w:val="24"/>
                <w:szCs w:val="24"/>
              </w:rPr>
            </w:pPr>
            <w:r w:rsidRPr="00E10318">
              <w:rPr>
                <w:rFonts w:ascii="仿宋" w:eastAsia="仿宋" w:hAnsi="仿宋" w:cs="宋体" w:hint="eastAsia"/>
                <w:spacing w:val="8"/>
                <w:kern w:val="0"/>
                <w:sz w:val="24"/>
                <w:szCs w:val="24"/>
              </w:rPr>
              <w:t>160 ＜ C1 ≤ 280</w:t>
            </w:r>
          </w:p>
        </w:tc>
        <w:tc>
          <w:tcPr>
            <w:tcW w:w="2597" w:type="dxa"/>
            <w:tcBorders>
              <w:top w:val="single" w:sz="6" w:space="0" w:color="000000"/>
              <w:left w:val="single" w:sz="6" w:space="0" w:color="000000"/>
              <w:bottom w:val="single" w:sz="6" w:space="0" w:color="000000"/>
              <w:right w:val="single" w:sz="6" w:space="0" w:color="000000"/>
            </w:tcBorders>
            <w:vAlign w:val="center"/>
            <w:hideMark/>
          </w:tcPr>
          <w:p w:rsidR="00E10318" w:rsidRPr="00E10318" w:rsidRDefault="00E10318" w:rsidP="00E10318">
            <w:pPr>
              <w:widowControl/>
              <w:adjustRightInd w:val="0"/>
              <w:spacing w:before="100" w:beforeAutospacing="1" w:after="100" w:afterAutospacing="1" w:line="170" w:lineRule="atLeast"/>
              <w:jc w:val="center"/>
              <w:rPr>
                <w:rFonts w:ascii="宋体" w:eastAsia="宋体" w:hAnsi="宋体" w:cs="宋体"/>
                <w:kern w:val="0"/>
                <w:sz w:val="24"/>
                <w:szCs w:val="24"/>
              </w:rPr>
            </w:pPr>
            <w:r w:rsidRPr="00E10318">
              <w:rPr>
                <w:rFonts w:ascii="仿宋" w:eastAsia="仿宋" w:hAnsi="仿宋" w:cs="宋体" w:hint="eastAsia"/>
                <w:spacing w:val="8"/>
                <w:kern w:val="0"/>
                <w:sz w:val="24"/>
                <w:szCs w:val="24"/>
              </w:rPr>
              <w:t>0.50</w:t>
            </w:r>
          </w:p>
        </w:tc>
      </w:tr>
      <w:tr w:rsidR="00E10318" w:rsidRPr="00E10318" w:rsidTr="00E10318">
        <w:trPr>
          <w:trHeight w:val="168"/>
        </w:trPr>
        <w:tc>
          <w:tcPr>
            <w:tcW w:w="1112" w:type="dxa"/>
            <w:tcBorders>
              <w:top w:val="nil"/>
              <w:left w:val="single" w:sz="8" w:space="0" w:color="000000"/>
              <w:bottom w:val="single" w:sz="8" w:space="0" w:color="000000"/>
              <w:right w:val="single" w:sz="8" w:space="0" w:color="000000"/>
            </w:tcBorders>
            <w:vAlign w:val="center"/>
            <w:hideMark/>
          </w:tcPr>
          <w:p w:rsidR="00E10318" w:rsidRPr="00E10318" w:rsidRDefault="00E10318" w:rsidP="00E10318">
            <w:pPr>
              <w:widowControl/>
              <w:adjustRightInd w:val="0"/>
              <w:spacing w:before="100" w:beforeAutospacing="1" w:after="100" w:afterAutospacing="1" w:line="168" w:lineRule="atLeast"/>
              <w:jc w:val="center"/>
              <w:rPr>
                <w:rFonts w:ascii="宋体" w:eastAsia="宋体" w:hAnsi="宋体" w:cs="宋体"/>
                <w:kern w:val="0"/>
                <w:sz w:val="24"/>
                <w:szCs w:val="24"/>
              </w:rPr>
            </w:pPr>
            <w:r w:rsidRPr="00E10318">
              <w:rPr>
                <w:rFonts w:ascii="仿宋" w:eastAsia="仿宋" w:hAnsi="仿宋" w:cs="宋体" w:hint="eastAsia"/>
                <w:spacing w:val="8"/>
                <w:kern w:val="0"/>
                <w:sz w:val="24"/>
                <w:szCs w:val="24"/>
              </w:rPr>
              <w:t>4</w:t>
            </w:r>
          </w:p>
        </w:tc>
        <w:tc>
          <w:tcPr>
            <w:tcW w:w="4769" w:type="dxa"/>
            <w:tcBorders>
              <w:top w:val="single" w:sz="6" w:space="0" w:color="000000"/>
              <w:left w:val="single" w:sz="6" w:space="0" w:color="000000"/>
              <w:bottom w:val="single" w:sz="6" w:space="0" w:color="000000"/>
              <w:right w:val="single" w:sz="6" w:space="0" w:color="000000"/>
            </w:tcBorders>
            <w:vAlign w:val="center"/>
            <w:hideMark/>
          </w:tcPr>
          <w:p w:rsidR="00E10318" w:rsidRPr="00E10318" w:rsidRDefault="00E10318" w:rsidP="00E10318">
            <w:pPr>
              <w:widowControl/>
              <w:adjustRightInd w:val="0"/>
              <w:spacing w:before="100" w:beforeAutospacing="1" w:after="100" w:afterAutospacing="1" w:line="168" w:lineRule="atLeast"/>
              <w:jc w:val="center"/>
              <w:rPr>
                <w:rFonts w:ascii="宋体" w:eastAsia="宋体" w:hAnsi="宋体" w:cs="宋体"/>
                <w:kern w:val="0"/>
                <w:sz w:val="24"/>
                <w:szCs w:val="24"/>
              </w:rPr>
            </w:pPr>
            <w:r w:rsidRPr="00E10318">
              <w:rPr>
                <w:rFonts w:ascii="仿宋" w:eastAsia="仿宋" w:hAnsi="仿宋" w:cs="宋体" w:hint="eastAsia"/>
                <w:spacing w:val="8"/>
                <w:kern w:val="0"/>
                <w:sz w:val="24"/>
                <w:szCs w:val="24"/>
              </w:rPr>
              <w:t>280 ＜ C1 ≤ 400</w:t>
            </w:r>
          </w:p>
        </w:tc>
        <w:tc>
          <w:tcPr>
            <w:tcW w:w="2597" w:type="dxa"/>
            <w:tcBorders>
              <w:top w:val="single" w:sz="6" w:space="0" w:color="000000"/>
              <w:left w:val="single" w:sz="6" w:space="0" w:color="000000"/>
              <w:bottom w:val="single" w:sz="6" w:space="0" w:color="000000"/>
              <w:right w:val="single" w:sz="6" w:space="0" w:color="000000"/>
            </w:tcBorders>
            <w:vAlign w:val="center"/>
            <w:hideMark/>
          </w:tcPr>
          <w:p w:rsidR="00E10318" w:rsidRPr="00E10318" w:rsidRDefault="00E10318" w:rsidP="00E10318">
            <w:pPr>
              <w:widowControl/>
              <w:adjustRightInd w:val="0"/>
              <w:spacing w:before="100" w:beforeAutospacing="1" w:after="100" w:afterAutospacing="1" w:line="168" w:lineRule="atLeast"/>
              <w:jc w:val="center"/>
              <w:rPr>
                <w:rFonts w:ascii="宋体" w:eastAsia="宋体" w:hAnsi="宋体" w:cs="宋体"/>
                <w:kern w:val="0"/>
                <w:sz w:val="24"/>
                <w:szCs w:val="24"/>
              </w:rPr>
            </w:pPr>
            <w:r w:rsidRPr="00E10318">
              <w:rPr>
                <w:rFonts w:ascii="仿宋" w:eastAsia="仿宋" w:hAnsi="仿宋" w:cs="宋体" w:hint="eastAsia"/>
                <w:spacing w:val="8"/>
                <w:kern w:val="0"/>
                <w:sz w:val="24"/>
                <w:szCs w:val="24"/>
              </w:rPr>
              <w:t>0.75</w:t>
            </w:r>
          </w:p>
        </w:tc>
      </w:tr>
      <w:tr w:rsidR="00E10318" w:rsidRPr="00E10318" w:rsidTr="00E10318">
        <w:trPr>
          <w:trHeight w:val="44"/>
        </w:trPr>
        <w:tc>
          <w:tcPr>
            <w:tcW w:w="1112" w:type="dxa"/>
            <w:tcBorders>
              <w:top w:val="nil"/>
              <w:left w:val="single" w:sz="8" w:space="0" w:color="000000"/>
              <w:bottom w:val="single" w:sz="8" w:space="0" w:color="000000"/>
              <w:right w:val="single" w:sz="8" w:space="0" w:color="000000"/>
            </w:tcBorders>
            <w:vAlign w:val="center"/>
            <w:hideMark/>
          </w:tcPr>
          <w:p w:rsidR="00E10318" w:rsidRPr="00E10318" w:rsidRDefault="00E10318" w:rsidP="00E10318">
            <w:pPr>
              <w:widowControl/>
              <w:adjustRightInd w:val="0"/>
              <w:spacing w:before="100" w:beforeAutospacing="1" w:after="100" w:afterAutospacing="1" w:line="44" w:lineRule="atLeast"/>
              <w:jc w:val="center"/>
              <w:rPr>
                <w:rFonts w:ascii="宋体" w:eastAsia="宋体" w:hAnsi="宋体" w:cs="宋体"/>
                <w:kern w:val="0"/>
                <w:sz w:val="24"/>
                <w:szCs w:val="24"/>
              </w:rPr>
            </w:pPr>
            <w:r w:rsidRPr="00E10318">
              <w:rPr>
                <w:rFonts w:ascii="仿宋" w:eastAsia="仿宋" w:hAnsi="仿宋" w:cs="宋体" w:hint="eastAsia"/>
                <w:spacing w:val="8"/>
                <w:kern w:val="0"/>
                <w:sz w:val="24"/>
                <w:szCs w:val="24"/>
              </w:rPr>
              <w:t>5</w:t>
            </w:r>
          </w:p>
        </w:tc>
        <w:tc>
          <w:tcPr>
            <w:tcW w:w="4769" w:type="dxa"/>
            <w:tcBorders>
              <w:top w:val="single" w:sz="6" w:space="0" w:color="000000"/>
              <w:left w:val="single" w:sz="6" w:space="0" w:color="000000"/>
              <w:bottom w:val="single" w:sz="6" w:space="0" w:color="000000"/>
              <w:right w:val="single" w:sz="6" w:space="0" w:color="000000"/>
            </w:tcBorders>
            <w:vAlign w:val="center"/>
            <w:hideMark/>
          </w:tcPr>
          <w:p w:rsidR="00E10318" w:rsidRPr="00E10318" w:rsidRDefault="00E10318" w:rsidP="00E10318">
            <w:pPr>
              <w:widowControl/>
              <w:adjustRightInd w:val="0"/>
              <w:spacing w:before="100" w:beforeAutospacing="1" w:after="100" w:afterAutospacing="1" w:line="44" w:lineRule="atLeast"/>
              <w:jc w:val="center"/>
              <w:rPr>
                <w:rFonts w:ascii="宋体" w:eastAsia="宋体" w:hAnsi="宋体" w:cs="宋体"/>
                <w:kern w:val="0"/>
                <w:sz w:val="24"/>
                <w:szCs w:val="24"/>
              </w:rPr>
            </w:pPr>
            <w:r w:rsidRPr="00E10318">
              <w:rPr>
                <w:rFonts w:ascii="仿宋" w:eastAsia="仿宋" w:hAnsi="仿宋" w:cs="宋体" w:hint="eastAsia"/>
                <w:spacing w:val="8"/>
                <w:kern w:val="0"/>
                <w:sz w:val="24"/>
                <w:szCs w:val="24"/>
              </w:rPr>
              <w:t>C1 &gt;400</w:t>
            </w:r>
          </w:p>
        </w:tc>
        <w:tc>
          <w:tcPr>
            <w:tcW w:w="2597" w:type="dxa"/>
            <w:tcBorders>
              <w:top w:val="single" w:sz="6" w:space="0" w:color="000000"/>
              <w:left w:val="single" w:sz="6" w:space="0" w:color="000000"/>
              <w:bottom w:val="single" w:sz="6" w:space="0" w:color="000000"/>
              <w:right w:val="single" w:sz="6" w:space="0" w:color="000000"/>
            </w:tcBorders>
            <w:vAlign w:val="center"/>
            <w:hideMark/>
          </w:tcPr>
          <w:p w:rsidR="00E10318" w:rsidRPr="00E10318" w:rsidRDefault="00E10318" w:rsidP="00E10318">
            <w:pPr>
              <w:widowControl/>
              <w:adjustRightInd w:val="0"/>
              <w:spacing w:before="100" w:beforeAutospacing="1" w:after="100" w:afterAutospacing="1" w:line="44" w:lineRule="atLeast"/>
              <w:jc w:val="center"/>
              <w:rPr>
                <w:rFonts w:ascii="宋体" w:eastAsia="宋体" w:hAnsi="宋体" w:cs="宋体"/>
                <w:kern w:val="0"/>
                <w:sz w:val="24"/>
                <w:szCs w:val="24"/>
              </w:rPr>
            </w:pPr>
            <w:r w:rsidRPr="00E10318">
              <w:rPr>
                <w:rFonts w:ascii="仿宋" w:eastAsia="仿宋" w:hAnsi="仿宋" w:cs="宋体" w:hint="eastAsia"/>
                <w:spacing w:val="8"/>
                <w:kern w:val="0"/>
                <w:sz w:val="24"/>
                <w:szCs w:val="24"/>
              </w:rPr>
              <w:t>1.00</w:t>
            </w:r>
          </w:p>
        </w:tc>
      </w:tr>
    </w:tbl>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 xml:space="preserve">第二十条 </w:t>
      </w:r>
      <w:r w:rsidRPr="00E10318">
        <w:rPr>
          <w:rFonts w:ascii="仿宋" w:eastAsia="仿宋" w:hAnsi="仿宋" w:cs="仿宋_GB2312" w:hint="eastAsia"/>
          <w:kern w:val="0"/>
          <w:sz w:val="32"/>
          <w:szCs w:val="32"/>
        </w:rPr>
        <w:t>期货公司会员的持仓限额，由交易所每一年核定一次。</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仿宋_GB2312" w:hint="eastAsia"/>
          <w:kern w:val="0"/>
          <w:sz w:val="32"/>
          <w:szCs w:val="32"/>
        </w:rPr>
        <w:t>期货公司会员应当在当年3月15日前向交易所提供上一年度期末净资产金额的证明文件（会计师事务所审计报告）。交易所统计上年1月1日至12月31日期货公司会员的交易量，核定持仓限额后于当年3月20日前通知期货公司会员，并予公布; 该持仓限额适用于其当年3月21日起至次年3月20日</w:t>
      </w:r>
      <w:proofErr w:type="gramStart"/>
      <w:r w:rsidRPr="00E10318">
        <w:rPr>
          <w:rFonts w:ascii="仿宋" w:eastAsia="仿宋" w:hAnsi="仿宋" w:cs="仿宋_GB2312" w:hint="eastAsia"/>
          <w:kern w:val="0"/>
          <w:sz w:val="32"/>
          <w:szCs w:val="32"/>
        </w:rPr>
        <w:t>止</w:t>
      </w:r>
      <w:proofErr w:type="gramEnd"/>
      <w:r w:rsidRPr="00E10318">
        <w:rPr>
          <w:rFonts w:ascii="仿宋" w:eastAsia="仿宋" w:hAnsi="仿宋" w:cs="仿宋_GB2312" w:hint="eastAsia"/>
          <w:kern w:val="0"/>
          <w:sz w:val="32"/>
          <w:szCs w:val="32"/>
        </w:rPr>
        <w:t>期间（含起、止日）的各品种期货合约的交易。</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第二十一条 到期未提供证明文件、统计材料或所提供证明文件、统计材料无效的，则均以基数水平论。</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仿宋_GB2312" w:hint="eastAsia"/>
          <w:kern w:val="0"/>
          <w:sz w:val="32"/>
          <w:szCs w:val="32"/>
        </w:rPr>
        <w:t>第二十二条 交易所可以根据市场情况，对不同的上市品种、合约，调整会员或者客户的持仓限额。交易所调整持仓限额应当经理事会批准，报告中国证监会后实施。</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仿宋_GB2312" w:hint="eastAsia"/>
          <w:kern w:val="0"/>
          <w:sz w:val="32"/>
          <w:szCs w:val="32"/>
        </w:rPr>
        <w:t>第二十三条 非期货公司会员或客户的持仓数量不得超过交易所规定的持仓限额。对超过持仓限额的非期货公司会员或客户，交易所可以按有关规定执行强行平仓。</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仿宋_GB2312" w:hint="eastAsia"/>
          <w:kern w:val="0"/>
          <w:sz w:val="32"/>
          <w:szCs w:val="32"/>
        </w:rPr>
        <w:lastRenderedPageBreak/>
        <w:t>一个客户在不同期货公司会员处开有多个交易编码，其持仓量合计超出持仓限额的，交易所可以指定有关期货公司会员对该客户超额持仓执行强行平仓。</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宋体" w:eastAsia="宋体" w:hAnsi="宋体" w:cs="宋体" w:hint="eastAsia"/>
          <w:strike/>
          <w:kern w:val="0"/>
          <w:sz w:val="32"/>
          <w:szCs w:val="32"/>
        </w:rPr>
        <w:t> </w:t>
      </w:r>
    </w:p>
    <w:p w:rsidR="00E10318" w:rsidRPr="00E10318" w:rsidRDefault="00E10318" w:rsidP="00E10318">
      <w:pPr>
        <w:widowControl/>
        <w:adjustRightInd w:val="0"/>
        <w:spacing w:before="100" w:beforeAutospacing="1" w:after="100" w:afterAutospacing="1" w:line="520" w:lineRule="exact"/>
        <w:jc w:val="center"/>
        <w:rPr>
          <w:rFonts w:ascii="宋体" w:eastAsia="宋体" w:hAnsi="宋体" w:cs="宋体"/>
          <w:kern w:val="0"/>
          <w:sz w:val="24"/>
          <w:szCs w:val="24"/>
        </w:rPr>
      </w:pPr>
      <w:r w:rsidRPr="00E10318">
        <w:rPr>
          <w:rFonts w:ascii="仿宋" w:eastAsia="仿宋" w:hAnsi="仿宋" w:cs="宋体" w:hint="eastAsia"/>
          <w:b/>
          <w:bCs/>
          <w:kern w:val="0"/>
          <w:sz w:val="32"/>
          <w:szCs w:val="32"/>
        </w:rPr>
        <w:t>第五章 交易限额制度</w:t>
      </w:r>
    </w:p>
    <w:bookmarkEnd w:id="10"/>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仿宋_GB2312" w:hint="eastAsia"/>
          <w:color w:val="333333"/>
          <w:kern w:val="0"/>
          <w:sz w:val="32"/>
          <w:szCs w:val="32"/>
        </w:rPr>
        <w:t>第二十四条 交易所实行交易限额制度。交易限额是指交易所规定的会员或者客户对某一合约在某一期限内开仓交易的最大数量。交易所可以根据市场情况，对不同的上市品种、合约，对部分或者全部会员、特定客户，制定日内开仓交易量，具体标准由交易所另行确定。</w:t>
      </w:r>
      <w:bookmarkEnd w:id="11"/>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仿宋_GB2312" w:hint="eastAsia"/>
          <w:kern w:val="0"/>
          <w:sz w:val="32"/>
          <w:szCs w:val="32"/>
        </w:rPr>
        <w:t>套期保值交易不受本条前款限制。</w:t>
      </w:r>
    </w:p>
    <w:p w:rsidR="00E10318" w:rsidRPr="00E10318" w:rsidRDefault="00E10318" w:rsidP="00E10318">
      <w:pPr>
        <w:widowControl/>
        <w:adjustRightInd w:val="0"/>
        <w:spacing w:before="100" w:beforeAutospacing="1" w:after="100" w:afterAutospacing="1" w:line="520" w:lineRule="exact"/>
        <w:jc w:val="center"/>
        <w:rPr>
          <w:rFonts w:ascii="宋体" w:eastAsia="宋体" w:hAnsi="宋体" w:cs="宋体"/>
          <w:kern w:val="0"/>
          <w:sz w:val="24"/>
          <w:szCs w:val="24"/>
        </w:rPr>
      </w:pPr>
      <w:r w:rsidRPr="00E10318">
        <w:rPr>
          <w:rFonts w:ascii="宋体" w:eastAsia="宋体" w:hAnsi="宋体" w:cs="宋体" w:hint="eastAsia"/>
          <w:b/>
          <w:bCs/>
          <w:kern w:val="0"/>
          <w:sz w:val="32"/>
          <w:szCs w:val="32"/>
        </w:rPr>
        <w:t>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宋体" w:eastAsia="宋体" w:hAnsi="宋体" w:cs="宋体" w:hint="eastAsia"/>
          <w:kern w:val="0"/>
          <w:sz w:val="32"/>
          <w:szCs w:val="32"/>
        </w:rPr>
        <w:t> </w:t>
      </w:r>
    </w:p>
    <w:p w:rsidR="00E10318" w:rsidRPr="00E10318" w:rsidRDefault="00E10318" w:rsidP="00E10318">
      <w:pPr>
        <w:widowControl/>
        <w:adjustRightInd w:val="0"/>
        <w:spacing w:before="100" w:beforeAutospacing="1" w:after="100" w:afterAutospacing="1" w:line="520" w:lineRule="exact"/>
        <w:jc w:val="center"/>
        <w:rPr>
          <w:rFonts w:ascii="宋体" w:eastAsia="宋体" w:hAnsi="宋体" w:cs="宋体"/>
          <w:kern w:val="0"/>
          <w:sz w:val="24"/>
          <w:szCs w:val="24"/>
        </w:rPr>
      </w:pPr>
      <w:r w:rsidRPr="00E10318">
        <w:rPr>
          <w:rFonts w:ascii="仿宋" w:eastAsia="仿宋" w:hAnsi="仿宋" w:cs="宋体" w:hint="eastAsia"/>
          <w:b/>
          <w:bCs/>
          <w:kern w:val="0"/>
          <w:sz w:val="32"/>
          <w:szCs w:val="32"/>
        </w:rPr>
        <w:t>第六章 大户报告制度</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第二十五条 交易所实行大户报告制度。当会员或者客户某品种持仓合约的投机头寸达到交易所对其规定的投机头寸持仓限额80%以上（含本数）或者交易所要求报告的，会员或客户应当向交易所报告其资金情况、头寸情况，客户应当通过期货公司会员报告。交易所可以根据市场风险状况，制定并调整持仓报告标准。</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lastRenderedPageBreak/>
        <w:t>第二十六条 会员和客户的持仓，达到交易所报告界限的，会员和客户应当主动于下一交易日15:00时前向交易所报告。如需再次报告或补充报告，交易所将通知有关会员。</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第二十七条 达到交易所报告界限的期货公司会员应当向交易所提供下列材料:</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（一）填写完整的《期货公司会员大户报告表》，内容包括会员名称、会员号、合约代码、现有持仓、持仓保证金、可动用资金、持仓客户数量、预报交割数量、申请交割数量;</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（二）资金来源说明;</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（三）其持仓量前五名</w:t>
      </w:r>
      <w:r w:rsidRPr="00E10318">
        <w:rPr>
          <w:rFonts w:ascii="仿宋" w:eastAsia="仿宋" w:hAnsi="仿宋" w:cs="仿宋_GB2312" w:hint="eastAsia"/>
          <w:kern w:val="0"/>
          <w:sz w:val="32"/>
          <w:szCs w:val="32"/>
        </w:rPr>
        <w:t>客户的名称、交易编码、持仓量、开户资料及当日结算单据;</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（四）交易所要求提供的其他材料。</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第二十八条 达到交易所报告界限的非</w:t>
      </w:r>
      <w:r w:rsidRPr="00E10318">
        <w:rPr>
          <w:rFonts w:ascii="仿宋" w:eastAsia="仿宋" w:hAnsi="仿宋" w:cs="仿宋_GB2312" w:hint="eastAsia"/>
          <w:kern w:val="0"/>
          <w:sz w:val="32"/>
          <w:szCs w:val="32"/>
        </w:rPr>
        <w:t xml:space="preserve">期货公司会员应当向交易所提供下列材料: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（一）填写完整的《非</w:t>
      </w:r>
      <w:r w:rsidRPr="00E10318">
        <w:rPr>
          <w:rFonts w:ascii="仿宋" w:eastAsia="仿宋" w:hAnsi="仿宋" w:cs="仿宋_GB2312" w:hint="eastAsia"/>
          <w:kern w:val="0"/>
          <w:sz w:val="32"/>
          <w:szCs w:val="32"/>
        </w:rPr>
        <w:t xml:space="preserve">期货公司会员大户报告表》，内容包括会员名称、会员号、合约代码、现有持仓、持仓性质、持仓保证金、可动用资金、持仓意向、预报交割数量、申请交割数量;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（二）资金来源说明;</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（三）交易所要求提供的其他材料。</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lastRenderedPageBreak/>
        <w:t>第二十九条 达到交易所报告界限的</w:t>
      </w:r>
      <w:r w:rsidRPr="00E10318">
        <w:rPr>
          <w:rFonts w:ascii="仿宋" w:eastAsia="仿宋" w:hAnsi="仿宋" w:cs="仿宋_GB2312" w:hint="eastAsia"/>
          <w:kern w:val="0"/>
          <w:sz w:val="32"/>
          <w:szCs w:val="32"/>
        </w:rPr>
        <w:t xml:space="preserve">客户应当提供下列材料: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（一）填写完整的《</w:t>
      </w:r>
      <w:r w:rsidRPr="00E10318">
        <w:rPr>
          <w:rFonts w:ascii="仿宋" w:eastAsia="仿宋" w:hAnsi="仿宋" w:cs="仿宋_GB2312" w:hint="eastAsia"/>
          <w:kern w:val="0"/>
          <w:sz w:val="32"/>
          <w:szCs w:val="32"/>
        </w:rPr>
        <w:t xml:space="preserve">客户大户报告表》，内容包括会员名称、会员号、客户名称和编码、合约代码、现有持仓、持仓性质、持仓保证金、可动用资金、持仓意向、预报交割数量、申请交割数量等;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（二）资金来源说明;</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（三）开户材料及当日结算单据;</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（四）交易所要求提供的其他材料。</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 xml:space="preserve">第三十条 </w:t>
      </w:r>
      <w:r w:rsidRPr="00E10318">
        <w:rPr>
          <w:rFonts w:ascii="仿宋" w:eastAsia="仿宋" w:hAnsi="仿宋" w:cs="仿宋_GB2312" w:hint="eastAsia"/>
          <w:kern w:val="0"/>
          <w:sz w:val="32"/>
          <w:szCs w:val="32"/>
        </w:rPr>
        <w:t>期货公司会员应当对达到交易所报告界限的客户所提供的有关</w:t>
      </w:r>
      <w:r w:rsidRPr="00E10318">
        <w:rPr>
          <w:rFonts w:ascii="仿宋" w:eastAsia="仿宋" w:hAnsi="仿宋" w:cs="宋体" w:hint="eastAsia"/>
          <w:kern w:val="0"/>
          <w:sz w:val="32"/>
          <w:szCs w:val="32"/>
        </w:rPr>
        <w:t>材料进行初审，然后转交交易所。</w:t>
      </w:r>
      <w:r w:rsidRPr="00E10318">
        <w:rPr>
          <w:rFonts w:ascii="仿宋" w:eastAsia="仿宋" w:hAnsi="仿宋" w:cs="仿宋_GB2312" w:hint="eastAsia"/>
          <w:kern w:val="0"/>
          <w:sz w:val="32"/>
          <w:szCs w:val="32"/>
        </w:rPr>
        <w:t>期货公司会员应当保证客户所</w:t>
      </w:r>
      <w:r w:rsidRPr="00E10318">
        <w:rPr>
          <w:rFonts w:ascii="仿宋" w:eastAsia="仿宋" w:hAnsi="仿宋" w:cs="宋体" w:hint="eastAsia"/>
          <w:kern w:val="0"/>
          <w:sz w:val="32"/>
          <w:szCs w:val="32"/>
        </w:rPr>
        <w:t>提供的材料的真实性</w:t>
      </w:r>
      <w:r w:rsidRPr="00E10318">
        <w:rPr>
          <w:rFonts w:ascii="仿宋" w:eastAsia="仿宋" w:hAnsi="仿宋" w:cs="仿宋_GB2312" w:hint="eastAsia"/>
          <w:kern w:val="0"/>
          <w:sz w:val="32"/>
          <w:szCs w:val="32"/>
        </w:rPr>
        <w:t>，并妥善保管有关大户报告的客户签字原始文件或电话录音等其他证明文档。</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仿宋_GB2312" w:hint="eastAsia"/>
          <w:kern w:val="0"/>
          <w:sz w:val="32"/>
          <w:szCs w:val="32"/>
        </w:rPr>
        <w:t>第三十一条 交易所可以不定期地对会员或客户提供的材料进行核查。</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 xml:space="preserve">第三十二条 </w:t>
      </w:r>
      <w:r w:rsidRPr="00E10318">
        <w:rPr>
          <w:rFonts w:ascii="仿宋" w:eastAsia="仿宋" w:hAnsi="仿宋" w:cs="仿宋_GB2312" w:hint="eastAsia"/>
          <w:kern w:val="0"/>
          <w:sz w:val="32"/>
          <w:szCs w:val="32"/>
        </w:rPr>
        <w:t>客户在不同期货公司会员处开有多个交易编码，各交易编码持有头寸数额合计达到报告界限，由交易所指定并通知有关期货公司会员，负责报送该客户应当报告情况的有关材料。</w:t>
      </w:r>
    </w:p>
    <w:p w:rsidR="00E10318" w:rsidRPr="00E10318" w:rsidRDefault="00E10318" w:rsidP="00E10318">
      <w:pPr>
        <w:widowControl/>
        <w:spacing w:before="100" w:beforeAutospacing="1" w:after="100" w:afterAutospacing="1"/>
        <w:jc w:val="left"/>
        <w:rPr>
          <w:rFonts w:ascii="宋体" w:eastAsia="宋体" w:hAnsi="宋体" w:cs="宋体"/>
          <w:kern w:val="0"/>
          <w:sz w:val="24"/>
          <w:szCs w:val="24"/>
        </w:rPr>
      </w:pPr>
      <w:r w:rsidRPr="00E10318">
        <w:rPr>
          <w:rFonts w:ascii="宋体" w:eastAsia="宋体" w:hAnsi="宋体" w:cs="宋体" w:hint="eastAsia"/>
          <w:kern w:val="0"/>
          <w:sz w:val="24"/>
          <w:szCs w:val="24"/>
        </w:rPr>
        <w:t> </w:t>
      </w:r>
    </w:p>
    <w:p w:rsidR="00E10318" w:rsidRPr="00E10318" w:rsidRDefault="00E10318" w:rsidP="00E10318">
      <w:pPr>
        <w:widowControl/>
        <w:adjustRightInd w:val="0"/>
        <w:spacing w:before="100" w:beforeAutospacing="1" w:after="100" w:afterAutospacing="1" w:line="520" w:lineRule="exact"/>
        <w:jc w:val="center"/>
        <w:rPr>
          <w:rFonts w:ascii="宋体" w:eastAsia="宋体" w:hAnsi="宋体" w:cs="宋体"/>
          <w:kern w:val="0"/>
          <w:sz w:val="24"/>
          <w:szCs w:val="24"/>
        </w:rPr>
      </w:pPr>
      <w:r w:rsidRPr="00E10318">
        <w:rPr>
          <w:rFonts w:ascii="仿宋" w:eastAsia="仿宋" w:hAnsi="仿宋" w:cs="宋体" w:hint="eastAsia"/>
          <w:b/>
          <w:bCs/>
          <w:kern w:val="0"/>
          <w:sz w:val="32"/>
          <w:szCs w:val="32"/>
        </w:rPr>
        <w:t>第七章 强行平仓制度</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lastRenderedPageBreak/>
        <w:t>第三十三条 为控制市场风险，交易所实行强行平仓制度。强行平仓是指当会员、</w:t>
      </w:r>
      <w:r w:rsidRPr="00E10318">
        <w:rPr>
          <w:rFonts w:ascii="仿宋" w:eastAsia="仿宋" w:hAnsi="仿宋" w:cs="仿宋_GB2312" w:hint="eastAsia"/>
          <w:kern w:val="0"/>
          <w:sz w:val="32"/>
          <w:szCs w:val="32"/>
        </w:rPr>
        <w:t>客户违规时，交易所对其有关持仓实行平仓的一种强制措施。</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第三十四条 当会员、</w:t>
      </w:r>
      <w:r w:rsidRPr="00E10318">
        <w:rPr>
          <w:rFonts w:ascii="仿宋" w:eastAsia="仿宋" w:hAnsi="仿宋" w:cs="仿宋_GB2312" w:hint="eastAsia"/>
          <w:kern w:val="0"/>
          <w:sz w:val="32"/>
          <w:szCs w:val="32"/>
        </w:rPr>
        <w:t>客户出现下列情况之一时，交易所对其持仓实行</w:t>
      </w:r>
      <w:r w:rsidRPr="00E10318">
        <w:rPr>
          <w:rFonts w:ascii="仿宋" w:eastAsia="仿宋" w:hAnsi="仿宋" w:cs="宋体" w:hint="eastAsia"/>
          <w:kern w:val="0"/>
          <w:sz w:val="32"/>
          <w:szCs w:val="32"/>
        </w:rPr>
        <w:t>强行平仓:</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 xml:space="preserve">（一）会员结算准备金余额小于零，并未能在规定时限内补足的;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 xml:space="preserve">（二）持仓量超出其限仓规定的;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（三）相关品种持仓没有在规定时间内按要求调整为相应整倍数的；</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 xml:space="preserve">（四）因违规受到交易所强行平仓处罚的;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 xml:space="preserve">（五）根据交易所的紧急措施应当予以强行平仓的;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（六）其他应当予以强行平仓的。</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第三十五条 强行平仓的执行原则</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强行平仓先由会员自己执行，时限除交易所特别规定外，一律为开市后第一节交易时间内。若时限内会员未执行完毕，则由交易所强制执行。因结算准备金小于零而被要求强行平仓的，在保证金补足前，禁止相关会员的开仓交易。</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（一）由会员单位执行的强行平</w:t>
      </w:r>
      <w:proofErr w:type="gramStart"/>
      <w:r w:rsidRPr="00E10318">
        <w:rPr>
          <w:rFonts w:ascii="仿宋" w:eastAsia="仿宋" w:hAnsi="仿宋" w:cs="宋体" w:hint="eastAsia"/>
          <w:kern w:val="0"/>
          <w:sz w:val="32"/>
          <w:szCs w:val="32"/>
        </w:rPr>
        <w:t>仓头</w:t>
      </w:r>
      <w:proofErr w:type="gramEnd"/>
      <w:r w:rsidRPr="00E10318">
        <w:rPr>
          <w:rFonts w:ascii="仿宋" w:eastAsia="仿宋" w:hAnsi="仿宋" w:cs="宋体" w:hint="eastAsia"/>
          <w:kern w:val="0"/>
          <w:sz w:val="32"/>
          <w:szCs w:val="32"/>
        </w:rPr>
        <w:t>寸的确定</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lastRenderedPageBreak/>
        <w:t>1、属第三十四条第（一）项、第（二）项的强行平仓，其需要强行平</w:t>
      </w:r>
      <w:proofErr w:type="gramStart"/>
      <w:r w:rsidRPr="00E10318">
        <w:rPr>
          <w:rFonts w:ascii="仿宋" w:eastAsia="仿宋" w:hAnsi="仿宋" w:cs="宋体" w:hint="eastAsia"/>
          <w:kern w:val="0"/>
          <w:sz w:val="32"/>
          <w:szCs w:val="32"/>
        </w:rPr>
        <w:t>仓头寸由会员</w:t>
      </w:r>
      <w:proofErr w:type="gramEnd"/>
      <w:r w:rsidRPr="00E10318">
        <w:rPr>
          <w:rFonts w:ascii="仿宋" w:eastAsia="仿宋" w:hAnsi="仿宋" w:cs="宋体" w:hint="eastAsia"/>
          <w:kern w:val="0"/>
          <w:sz w:val="32"/>
          <w:szCs w:val="32"/>
        </w:rPr>
        <w:t>单位自行确定，只要强行平仓结果符合交易所规则即可。</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2、属第三十四条第（三）项、第（四）项、第（五）项、第（六）项的强行平仓，其需要强行平</w:t>
      </w:r>
      <w:proofErr w:type="gramStart"/>
      <w:r w:rsidRPr="00E10318">
        <w:rPr>
          <w:rFonts w:ascii="仿宋" w:eastAsia="仿宋" w:hAnsi="仿宋" w:cs="宋体" w:hint="eastAsia"/>
          <w:kern w:val="0"/>
          <w:sz w:val="32"/>
          <w:szCs w:val="32"/>
        </w:rPr>
        <w:t>仓头寸由交易所</w:t>
      </w:r>
      <w:proofErr w:type="gramEnd"/>
      <w:r w:rsidRPr="00E10318">
        <w:rPr>
          <w:rFonts w:ascii="仿宋" w:eastAsia="仿宋" w:hAnsi="仿宋" w:cs="宋体" w:hint="eastAsia"/>
          <w:kern w:val="0"/>
          <w:sz w:val="32"/>
          <w:szCs w:val="32"/>
        </w:rPr>
        <w:t>确定。</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（二）由交易所执行的强行平</w:t>
      </w:r>
      <w:proofErr w:type="gramStart"/>
      <w:r w:rsidRPr="00E10318">
        <w:rPr>
          <w:rFonts w:ascii="仿宋" w:eastAsia="仿宋" w:hAnsi="仿宋" w:cs="宋体" w:hint="eastAsia"/>
          <w:kern w:val="0"/>
          <w:sz w:val="32"/>
          <w:szCs w:val="32"/>
        </w:rPr>
        <w:t>仓头</w:t>
      </w:r>
      <w:proofErr w:type="gramEnd"/>
      <w:r w:rsidRPr="00E10318">
        <w:rPr>
          <w:rFonts w:ascii="仿宋" w:eastAsia="仿宋" w:hAnsi="仿宋" w:cs="宋体" w:hint="eastAsia"/>
          <w:kern w:val="0"/>
          <w:sz w:val="32"/>
          <w:szCs w:val="32"/>
        </w:rPr>
        <w:t>寸的确定</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1、属第三十四条第（一）项的强行平仓: 其需要强行平仓的头寸由交易所按先投机、后套期保值的原则; 并按上一交易日闭市后合约总持仓量由大到小顺序，先选择持仓量大的合约作为强行平仓的合约; 再按该会员所有</w:t>
      </w:r>
      <w:r w:rsidRPr="00E10318">
        <w:rPr>
          <w:rFonts w:ascii="仿宋" w:eastAsia="仿宋" w:hAnsi="仿宋" w:cs="仿宋_GB2312" w:hint="eastAsia"/>
          <w:kern w:val="0"/>
          <w:sz w:val="32"/>
          <w:szCs w:val="32"/>
        </w:rPr>
        <w:t>客户该合约的净持仓亏损由大到小确定。</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若多个会员需要强行平仓的，按追加保证金由大到小的顺序，先</w:t>
      </w:r>
      <w:proofErr w:type="gramStart"/>
      <w:r w:rsidRPr="00E10318">
        <w:rPr>
          <w:rFonts w:ascii="仿宋" w:eastAsia="仿宋" w:hAnsi="仿宋" w:cs="宋体" w:hint="eastAsia"/>
          <w:kern w:val="0"/>
          <w:sz w:val="32"/>
          <w:szCs w:val="32"/>
        </w:rPr>
        <w:t>平需要</w:t>
      </w:r>
      <w:proofErr w:type="gramEnd"/>
      <w:r w:rsidRPr="00E10318">
        <w:rPr>
          <w:rFonts w:ascii="仿宋" w:eastAsia="仿宋" w:hAnsi="仿宋" w:cs="宋体" w:hint="eastAsia"/>
          <w:kern w:val="0"/>
          <w:sz w:val="32"/>
          <w:szCs w:val="32"/>
        </w:rPr>
        <w:t>追加保证金大的会员。</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2、属第三十四条第（二）项的，交易所采取以下措施: 若系客户（或非期货公司会员）超仓，则对该客户（或非期货公司会员）的超</w:t>
      </w:r>
      <w:proofErr w:type="gramStart"/>
      <w:r w:rsidRPr="00E10318">
        <w:rPr>
          <w:rFonts w:ascii="仿宋" w:eastAsia="仿宋" w:hAnsi="仿宋" w:cs="宋体" w:hint="eastAsia"/>
          <w:kern w:val="0"/>
          <w:sz w:val="32"/>
          <w:szCs w:val="32"/>
        </w:rPr>
        <w:t>仓头</w:t>
      </w:r>
      <w:proofErr w:type="gramEnd"/>
      <w:r w:rsidRPr="00E10318">
        <w:rPr>
          <w:rFonts w:ascii="仿宋" w:eastAsia="仿宋" w:hAnsi="仿宋" w:cs="宋体" w:hint="eastAsia"/>
          <w:kern w:val="0"/>
          <w:sz w:val="32"/>
          <w:szCs w:val="32"/>
        </w:rPr>
        <w:t>寸进行强行平仓；若系期货公司会员达到或者超过持仓限额的，不得同方向开仓交易。</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3、属第三十四条第（三）项、第（四）项、第（五）项、第（六）项的强行平仓，强行平</w:t>
      </w:r>
      <w:proofErr w:type="gramStart"/>
      <w:r w:rsidRPr="00E10318">
        <w:rPr>
          <w:rFonts w:ascii="仿宋" w:eastAsia="仿宋" w:hAnsi="仿宋" w:cs="宋体" w:hint="eastAsia"/>
          <w:kern w:val="0"/>
          <w:sz w:val="32"/>
          <w:szCs w:val="32"/>
        </w:rPr>
        <w:t>仓头寸由交易所</w:t>
      </w:r>
      <w:proofErr w:type="gramEnd"/>
      <w:r w:rsidRPr="00E10318">
        <w:rPr>
          <w:rFonts w:ascii="仿宋" w:eastAsia="仿宋" w:hAnsi="仿宋" w:cs="宋体" w:hint="eastAsia"/>
          <w:kern w:val="0"/>
          <w:sz w:val="32"/>
          <w:szCs w:val="32"/>
        </w:rPr>
        <w:t>根据涉及的会员和</w:t>
      </w:r>
      <w:r w:rsidRPr="00E10318">
        <w:rPr>
          <w:rFonts w:ascii="仿宋" w:eastAsia="仿宋" w:hAnsi="仿宋" w:cs="仿宋_GB2312" w:hint="eastAsia"/>
          <w:kern w:val="0"/>
          <w:sz w:val="32"/>
          <w:szCs w:val="32"/>
        </w:rPr>
        <w:t>客户具体情况确定。</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lastRenderedPageBreak/>
        <w:t>若会员同时满足第三十四条第（一）项、第（二）项情况，交易所先按第（二）项情况确定强行平</w:t>
      </w:r>
      <w:proofErr w:type="gramStart"/>
      <w:r w:rsidRPr="00E10318">
        <w:rPr>
          <w:rFonts w:ascii="仿宋" w:eastAsia="仿宋" w:hAnsi="仿宋" w:cs="宋体" w:hint="eastAsia"/>
          <w:kern w:val="0"/>
          <w:sz w:val="32"/>
          <w:szCs w:val="32"/>
        </w:rPr>
        <w:t>仓头</w:t>
      </w:r>
      <w:proofErr w:type="gramEnd"/>
      <w:r w:rsidRPr="00E10318">
        <w:rPr>
          <w:rFonts w:ascii="仿宋" w:eastAsia="仿宋" w:hAnsi="仿宋" w:cs="宋体" w:hint="eastAsia"/>
          <w:kern w:val="0"/>
          <w:sz w:val="32"/>
          <w:szCs w:val="32"/>
        </w:rPr>
        <w:t>寸，再按第（一）项情况确定强行平</w:t>
      </w:r>
      <w:proofErr w:type="gramStart"/>
      <w:r w:rsidRPr="00E10318">
        <w:rPr>
          <w:rFonts w:ascii="仿宋" w:eastAsia="仿宋" w:hAnsi="仿宋" w:cs="宋体" w:hint="eastAsia"/>
          <w:kern w:val="0"/>
          <w:sz w:val="32"/>
          <w:szCs w:val="32"/>
        </w:rPr>
        <w:t>仓头</w:t>
      </w:r>
      <w:proofErr w:type="gramEnd"/>
      <w:r w:rsidRPr="00E10318">
        <w:rPr>
          <w:rFonts w:ascii="仿宋" w:eastAsia="仿宋" w:hAnsi="仿宋" w:cs="宋体" w:hint="eastAsia"/>
          <w:kern w:val="0"/>
          <w:sz w:val="32"/>
          <w:szCs w:val="32"/>
        </w:rPr>
        <w:t>寸。</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第三十六条 强行平仓的执行</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（一）通知。交易所以“强行平仓通知书”（以下简称通知书）的形式向有关会员下达强行平仓要求。通知书除交易所特别送达以外，随当日结算数据发送，有关会员可以通过会员服务系统获得。</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（二）执行及确认。</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1、开市后，有关会员应当首先自行平仓，直至达到平仓要求。执行结果由交易所审核;</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会员有本办法第三十四条第（三）项情形的，交易所可以直接执行强行平仓；</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 xml:space="preserve">2、超过会员自行强行平仓时限而未执行完毕的，剩余部分由交易所直接执行强行平仓;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 xml:space="preserve">3、强行平仓执行完毕后，由交易所记录执行结果存档;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4、强行平仓结果随当日成交记录发送，有关会员可以通过会员服务系统获得。</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第三十七条 强行平仓的价格通过市场交易形成。</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第三十八条 因受价格涨跌停板限制或其他市场原因制约而无法在规定时限内完成全部强行平仓的，其剩余持</w:t>
      </w:r>
      <w:proofErr w:type="gramStart"/>
      <w:r w:rsidRPr="00E10318">
        <w:rPr>
          <w:rFonts w:ascii="仿宋" w:eastAsia="仿宋" w:hAnsi="仿宋" w:cs="宋体" w:hint="eastAsia"/>
          <w:kern w:val="0"/>
          <w:sz w:val="32"/>
          <w:szCs w:val="32"/>
        </w:rPr>
        <w:t>仓头</w:t>
      </w:r>
      <w:r w:rsidRPr="00E10318">
        <w:rPr>
          <w:rFonts w:ascii="仿宋" w:eastAsia="仿宋" w:hAnsi="仿宋" w:cs="宋体" w:hint="eastAsia"/>
          <w:kern w:val="0"/>
          <w:sz w:val="32"/>
          <w:szCs w:val="32"/>
        </w:rPr>
        <w:lastRenderedPageBreak/>
        <w:t>寸</w:t>
      </w:r>
      <w:proofErr w:type="gramEnd"/>
      <w:r w:rsidRPr="00E10318">
        <w:rPr>
          <w:rFonts w:ascii="仿宋" w:eastAsia="仿宋" w:hAnsi="仿宋" w:cs="宋体" w:hint="eastAsia"/>
          <w:kern w:val="0"/>
          <w:sz w:val="32"/>
          <w:szCs w:val="32"/>
        </w:rPr>
        <w:t>可以顺延至下一交易日继续平仓，仍按第三十五条原则执行，直至平仓完毕。</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第三十九条 如因价格涨跌停板或其他市场原因而无法在当日完成全部强行平仓的，交易所根据结算结果，对该会员</w:t>
      </w:r>
      <w:proofErr w:type="gramStart"/>
      <w:r w:rsidRPr="00E10318">
        <w:rPr>
          <w:rFonts w:ascii="仿宋" w:eastAsia="仿宋" w:hAnsi="仿宋" w:cs="宋体" w:hint="eastAsia"/>
          <w:kern w:val="0"/>
          <w:sz w:val="32"/>
          <w:szCs w:val="32"/>
        </w:rPr>
        <w:t>作出</w:t>
      </w:r>
      <w:proofErr w:type="gramEnd"/>
      <w:r w:rsidRPr="00E10318">
        <w:rPr>
          <w:rFonts w:ascii="仿宋" w:eastAsia="仿宋" w:hAnsi="仿宋" w:cs="宋体" w:hint="eastAsia"/>
          <w:kern w:val="0"/>
          <w:sz w:val="32"/>
          <w:szCs w:val="32"/>
        </w:rPr>
        <w:t>相应的处理。</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第四十条 由于价格涨跌停板限制或其他市场原因，有关持仓的强行平仓只能延时完成的，而因此发生的亏损，仍由直接责任人承担; 未能完成平仓的，该持仓持有者应当继续对此承担持仓责任或交割义务。</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第四十一条 由会员单位执行的强行平仓产生的盈利仍归直接责任人; 由交易所执行的强行平仓产生的盈利按国家有关规定执行; 因强行平仓发生的亏损由直接责任人承担。</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直接责任人是</w:t>
      </w:r>
      <w:r w:rsidRPr="00E10318">
        <w:rPr>
          <w:rFonts w:ascii="仿宋" w:eastAsia="仿宋" w:hAnsi="仿宋" w:cs="仿宋_GB2312" w:hint="eastAsia"/>
          <w:kern w:val="0"/>
          <w:sz w:val="32"/>
          <w:szCs w:val="32"/>
        </w:rPr>
        <w:t>客户的，强行平仓后发生的亏损，由该客户开户所在期货公司会员先行承担后，自行向该客户追索。</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宋体" w:eastAsia="宋体" w:hAnsi="宋体" w:cs="宋体" w:hint="eastAsia"/>
          <w:kern w:val="0"/>
          <w:sz w:val="32"/>
          <w:szCs w:val="32"/>
        </w:rPr>
        <w:t> </w:t>
      </w:r>
    </w:p>
    <w:p w:rsidR="00E10318" w:rsidRPr="00E10318" w:rsidRDefault="00E10318" w:rsidP="00E10318">
      <w:pPr>
        <w:widowControl/>
        <w:adjustRightInd w:val="0"/>
        <w:spacing w:before="100" w:beforeAutospacing="1" w:after="100" w:afterAutospacing="1" w:line="520" w:lineRule="exact"/>
        <w:jc w:val="center"/>
        <w:rPr>
          <w:rFonts w:ascii="宋体" w:eastAsia="宋体" w:hAnsi="宋体" w:cs="宋体"/>
          <w:kern w:val="0"/>
          <w:sz w:val="24"/>
          <w:szCs w:val="24"/>
        </w:rPr>
      </w:pPr>
      <w:r w:rsidRPr="00E10318">
        <w:rPr>
          <w:rFonts w:ascii="仿宋" w:eastAsia="仿宋" w:hAnsi="仿宋" w:cs="宋体" w:hint="eastAsia"/>
          <w:b/>
          <w:bCs/>
          <w:kern w:val="0"/>
          <w:sz w:val="36"/>
          <w:szCs w:val="36"/>
        </w:rPr>
        <w:t>第八章 风险警示制度</w:t>
      </w:r>
    </w:p>
    <w:p w:rsidR="00E10318" w:rsidRPr="00E10318" w:rsidRDefault="00E10318" w:rsidP="00E10318">
      <w:pPr>
        <w:widowControl/>
        <w:spacing w:before="100" w:beforeAutospacing="1" w:after="100" w:afterAutospacing="1"/>
        <w:jc w:val="left"/>
        <w:rPr>
          <w:rFonts w:ascii="宋体" w:eastAsia="宋体" w:hAnsi="宋体" w:cs="宋体"/>
          <w:kern w:val="0"/>
          <w:sz w:val="24"/>
          <w:szCs w:val="24"/>
        </w:rPr>
      </w:pPr>
      <w:r w:rsidRPr="00E10318">
        <w:rPr>
          <w:rFonts w:ascii="宋体" w:eastAsia="宋体" w:hAnsi="宋体" w:cs="宋体" w:hint="eastAsia"/>
          <w:kern w:val="0"/>
          <w:sz w:val="24"/>
          <w:szCs w:val="24"/>
        </w:rPr>
        <w:t>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第四十二条 交易所实行风险警示制度。当交易所认为必要时，可以分别或同时采取要求报告情况、谈话提醒、书面警示、公开谴责、发布风险警示公告等措施中的一种或多种，以警示和化解风险。</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lastRenderedPageBreak/>
        <w:t>第四十三条 出现下列情形之一的，交易所可以约见指定的会员高管人员或</w:t>
      </w:r>
      <w:r w:rsidRPr="00E10318">
        <w:rPr>
          <w:rFonts w:ascii="仿宋" w:eastAsia="仿宋" w:hAnsi="仿宋" w:cs="仿宋_GB2312" w:hint="eastAsia"/>
          <w:kern w:val="0"/>
          <w:sz w:val="32"/>
          <w:szCs w:val="32"/>
        </w:rPr>
        <w:t>客户谈话提醒风险，或要求会员或客户报告情况:</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（一）期货价格出现异常;</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（二）会员或</w:t>
      </w:r>
      <w:r w:rsidRPr="00E10318">
        <w:rPr>
          <w:rFonts w:ascii="仿宋" w:eastAsia="仿宋" w:hAnsi="仿宋" w:cs="仿宋_GB2312" w:hint="eastAsia"/>
          <w:kern w:val="0"/>
          <w:sz w:val="32"/>
          <w:szCs w:val="32"/>
        </w:rPr>
        <w:t>客户交易异常;</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（三）会员或客户持仓异常;</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（四）会员资金异常;</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（五）会员或客户涉嫌违规、违约;</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（六）交易所接到投诉涉及到会员或</w:t>
      </w:r>
      <w:r w:rsidRPr="00E10318">
        <w:rPr>
          <w:rFonts w:ascii="仿宋" w:eastAsia="仿宋" w:hAnsi="仿宋" w:cs="仿宋_GB2312" w:hint="eastAsia"/>
          <w:kern w:val="0"/>
          <w:sz w:val="32"/>
          <w:szCs w:val="32"/>
        </w:rPr>
        <w:t>客户;</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（七）会员涉及司法调查;</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（八）交易所认定的其他情况。</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交易所实施谈话提醒应当遵守下列要求:</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（一）交易所发出书面通知，约见指定的会员高管人员或</w:t>
      </w:r>
      <w:r w:rsidRPr="00E10318">
        <w:rPr>
          <w:rFonts w:ascii="仿宋" w:eastAsia="仿宋" w:hAnsi="仿宋" w:cs="仿宋_GB2312" w:hint="eastAsia"/>
          <w:kern w:val="0"/>
          <w:sz w:val="32"/>
          <w:szCs w:val="32"/>
        </w:rPr>
        <w:t>客户谈话。客户应当由会员指定人员陪同;</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（二）交易所安排谈话提醒时，应当将谈话时间、地点、要求等以书面形式提前一天通知会员;</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（三）谈话对象确因特殊情况不能参加的，应当事先报告交易所，经交易所同意后可以书面委托有关人员代理;</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（四）谈话对象应当如实陈述、不得故意隐瞒事实;</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lastRenderedPageBreak/>
        <w:t>（五）交易所工作人员应当对谈话的有关信息予以保密。</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交易所要求会员或</w:t>
      </w:r>
      <w:r w:rsidRPr="00E10318">
        <w:rPr>
          <w:rFonts w:ascii="仿宋" w:eastAsia="仿宋" w:hAnsi="仿宋" w:cs="仿宋_GB2312" w:hint="eastAsia"/>
          <w:kern w:val="0"/>
          <w:sz w:val="32"/>
          <w:szCs w:val="32"/>
        </w:rPr>
        <w:t>客户报告情况的，有关报告方式和报告内容参照大户报告制度。</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第四十四条 通过情况报告和谈话，发现会员或</w:t>
      </w:r>
      <w:r w:rsidRPr="00E10318">
        <w:rPr>
          <w:rFonts w:ascii="仿宋" w:eastAsia="仿宋" w:hAnsi="仿宋" w:cs="仿宋_GB2312" w:hint="eastAsia"/>
          <w:kern w:val="0"/>
          <w:sz w:val="32"/>
          <w:szCs w:val="32"/>
        </w:rPr>
        <w:t>客户有违规嫌疑、交易头寸有较大风险的，交易所可以对会员或客户发出书面的“风险警示函”。</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第四十五条 发生下列情形之一的，交易所可以在指定的有关媒体上对有关会员和</w:t>
      </w:r>
      <w:r w:rsidRPr="00E10318">
        <w:rPr>
          <w:rFonts w:ascii="仿宋" w:eastAsia="仿宋" w:hAnsi="仿宋" w:cs="仿宋_GB2312" w:hint="eastAsia"/>
          <w:kern w:val="0"/>
          <w:sz w:val="32"/>
          <w:szCs w:val="32"/>
        </w:rPr>
        <w:t>客户进行公开谴责:</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（一）不按交易所要求报告情况或者谈话的;</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（二）故意隐瞒事实，瞒报、错报、漏报重要信息的;</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（三）故意销毁违规违约证明材料, 不配合中国证监会或者交易所调查的;</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（四）经查实存在欺诈</w:t>
      </w:r>
      <w:r w:rsidRPr="00E10318">
        <w:rPr>
          <w:rFonts w:ascii="仿宋" w:eastAsia="仿宋" w:hAnsi="仿宋" w:cs="仿宋_GB2312" w:hint="eastAsia"/>
          <w:kern w:val="0"/>
          <w:sz w:val="32"/>
          <w:szCs w:val="32"/>
        </w:rPr>
        <w:t>客户行为的;</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（五）经查实参与分</w:t>
      </w:r>
      <w:proofErr w:type="gramStart"/>
      <w:r w:rsidRPr="00E10318">
        <w:rPr>
          <w:rFonts w:ascii="仿宋" w:eastAsia="仿宋" w:hAnsi="仿宋" w:cs="宋体" w:hint="eastAsia"/>
          <w:kern w:val="0"/>
          <w:sz w:val="32"/>
          <w:szCs w:val="32"/>
        </w:rPr>
        <w:t>仓或者</w:t>
      </w:r>
      <w:proofErr w:type="gramEnd"/>
      <w:r w:rsidRPr="00E10318">
        <w:rPr>
          <w:rFonts w:ascii="仿宋" w:eastAsia="仿宋" w:hAnsi="仿宋" w:cs="宋体" w:hint="eastAsia"/>
          <w:kern w:val="0"/>
          <w:sz w:val="32"/>
          <w:szCs w:val="32"/>
        </w:rPr>
        <w:t>操纵市场的;</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（六）交易所认定的其他违规行为。</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交易所对相关会员或</w:t>
      </w:r>
      <w:r w:rsidRPr="00E10318">
        <w:rPr>
          <w:rFonts w:ascii="仿宋" w:eastAsia="仿宋" w:hAnsi="仿宋" w:cs="仿宋_GB2312" w:hint="eastAsia"/>
          <w:kern w:val="0"/>
          <w:sz w:val="32"/>
          <w:szCs w:val="32"/>
        </w:rPr>
        <w:t>客户进行公开谴责的同时，对其违规行为，按《上海期货交易所违规处理办法》有关规定处理。</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第四十六条 发生下列情形之一的，交易所可以发出风险警示公告，向全体会员和</w:t>
      </w:r>
      <w:r w:rsidRPr="00E10318">
        <w:rPr>
          <w:rFonts w:ascii="仿宋" w:eastAsia="仿宋" w:hAnsi="仿宋" w:cs="仿宋_GB2312" w:hint="eastAsia"/>
          <w:kern w:val="0"/>
          <w:sz w:val="32"/>
          <w:szCs w:val="32"/>
        </w:rPr>
        <w:t>客户警示风险:</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（一）期货价格出现异常;</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lastRenderedPageBreak/>
        <w:t>（二）期货价格和现货价格出现较大差距;</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（三）国内期货价格和国际市场价格出现较大差距;</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（四）交易所认定的其他异常情况。</w:t>
      </w:r>
    </w:p>
    <w:p w:rsidR="00E10318" w:rsidRPr="00E10318" w:rsidRDefault="00E10318" w:rsidP="00E10318">
      <w:pPr>
        <w:widowControl/>
        <w:spacing w:before="100" w:beforeAutospacing="1" w:after="100" w:afterAutospacing="1"/>
        <w:jc w:val="left"/>
        <w:rPr>
          <w:rFonts w:ascii="宋体" w:eastAsia="宋体" w:hAnsi="宋体" w:cs="宋体"/>
          <w:kern w:val="0"/>
          <w:sz w:val="24"/>
          <w:szCs w:val="24"/>
        </w:rPr>
      </w:pPr>
      <w:r w:rsidRPr="00E10318">
        <w:rPr>
          <w:rFonts w:ascii="宋体" w:eastAsia="宋体" w:hAnsi="宋体" w:cs="宋体" w:hint="eastAsia"/>
          <w:kern w:val="0"/>
          <w:sz w:val="24"/>
          <w:szCs w:val="24"/>
        </w:rPr>
        <w:t> </w:t>
      </w:r>
    </w:p>
    <w:p w:rsidR="00E10318" w:rsidRPr="00E10318" w:rsidRDefault="00E10318" w:rsidP="00E10318">
      <w:pPr>
        <w:widowControl/>
        <w:adjustRightInd w:val="0"/>
        <w:spacing w:before="100" w:beforeAutospacing="1" w:after="100" w:afterAutospacing="1" w:line="520" w:lineRule="exact"/>
        <w:jc w:val="center"/>
        <w:rPr>
          <w:rFonts w:ascii="宋体" w:eastAsia="宋体" w:hAnsi="宋体" w:cs="宋体"/>
          <w:kern w:val="0"/>
          <w:sz w:val="24"/>
          <w:szCs w:val="24"/>
        </w:rPr>
      </w:pPr>
      <w:r w:rsidRPr="00E10318">
        <w:rPr>
          <w:rFonts w:ascii="仿宋" w:eastAsia="仿宋" w:hAnsi="仿宋" w:cs="宋体" w:hint="eastAsia"/>
          <w:b/>
          <w:bCs/>
          <w:kern w:val="0"/>
          <w:sz w:val="36"/>
          <w:szCs w:val="36"/>
        </w:rPr>
        <w:t>第九章 附 则</w:t>
      </w:r>
    </w:p>
    <w:p w:rsidR="00E10318" w:rsidRPr="00E10318" w:rsidRDefault="00E10318" w:rsidP="00E10318">
      <w:pPr>
        <w:widowControl/>
        <w:spacing w:before="100" w:beforeAutospacing="1" w:after="100" w:afterAutospacing="1"/>
        <w:jc w:val="left"/>
        <w:rPr>
          <w:rFonts w:ascii="宋体" w:eastAsia="宋体" w:hAnsi="宋体" w:cs="宋体"/>
          <w:kern w:val="0"/>
          <w:sz w:val="24"/>
          <w:szCs w:val="24"/>
        </w:rPr>
      </w:pPr>
      <w:r w:rsidRPr="00E10318">
        <w:rPr>
          <w:rFonts w:ascii="宋体" w:eastAsia="宋体" w:hAnsi="宋体" w:cs="宋体" w:hint="eastAsia"/>
          <w:kern w:val="0"/>
          <w:sz w:val="24"/>
          <w:szCs w:val="24"/>
        </w:rPr>
        <w:t> </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第四十七条 违反本办法规定的，交易所可以按本办法和《上海期货交易所违规处理办法》的有关规定处理。</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第四十八条</w:t>
      </w:r>
      <w:r w:rsidRPr="00E10318">
        <w:rPr>
          <w:rFonts w:ascii="仿宋" w:eastAsia="仿宋" w:hAnsi="仿宋" w:cs="宋体" w:hint="eastAsia"/>
          <w:kern w:val="0"/>
          <w:sz w:val="32"/>
          <w:szCs w:val="32"/>
        </w:rPr>
        <w:t> </w:t>
      </w:r>
      <w:r w:rsidRPr="00E10318">
        <w:rPr>
          <w:rFonts w:ascii="仿宋" w:eastAsia="仿宋" w:hAnsi="仿宋" w:cs="宋体" w:hint="eastAsia"/>
          <w:kern w:val="0"/>
          <w:sz w:val="32"/>
          <w:szCs w:val="32"/>
        </w:rPr>
        <w:t>除交易所另有规定外，本细则中涉及投机交易风险管理的规则，同等适用于非套期保值交易。</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第四十九条 有关连续交易相关的风险控制，上海期货交易所连续交易细则有特殊规定的，从其规定。</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第五十条 本办法解释权属于上海期货交易所。</w:t>
      </w:r>
    </w:p>
    <w:p w:rsidR="00E10318" w:rsidRPr="00E10318" w:rsidRDefault="00E10318" w:rsidP="00E10318">
      <w:pPr>
        <w:widowControl/>
        <w:adjustRightInd w:val="0"/>
        <w:spacing w:before="100" w:beforeAutospacing="1" w:after="100" w:afterAutospacing="1" w:line="520" w:lineRule="exact"/>
        <w:ind w:firstLineChars="200" w:firstLine="640"/>
        <w:jc w:val="left"/>
        <w:rPr>
          <w:rFonts w:ascii="宋体" w:eastAsia="宋体" w:hAnsi="宋体" w:cs="宋体"/>
          <w:kern w:val="0"/>
          <w:sz w:val="24"/>
          <w:szCs w:val="24"/>
        </w:rPr>
      </w:pPr>
      <w:r w:rsidRPr="00E10318">
        <w:rPr>
          <w:rFonts w:ascii="仿宋" w:eastAsia="仿宋" w:hAnsi="仿宋" w:cs="宋体" w:hint="eastAsia"/>
          <w:kern w:val="0"/>
          <w:sz w:val="32"/>
          <w:szCs w:val="32"/>
        </w:rPr>
        <w:t>第五十一条 本办法自2016年6月1日起施行（但上期所公告[2016]59号另有规定的从其规定）。</w:t>
      </w:r>
    </w:p>
    <w:p w:rsidR="00B255D5" w:rsidRPr="00E10318" w:rsidRDefault="00B255D5"/>
    <w:sectPr w:rsidR="00B255D5" w:rsidRPr="00E10318" w:rsidSect="00B255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795" w:rsidRDefault="00E95795" w:rsidP="00E10318">
      <w:r>
        <w:separator/>
      </w:r>
    </w:p>
  </w:endnote>
  <w:endnote w:type="continuationSeparator" w:id="0">
    <w:p w:rsidR="00E95795" w:rsidRDefault="00E95795" w:rsidP="00E103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FZDaBiaoSong-B06S">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795" w:rsidRDefault="00E95795" w:rsidP="00E10318">
      <w:r>
        <w:separator/>
      </w:r>
    </w:p>
  </w:footnote>
  <w:footnote w:type="continuationSeparator" w:id="0">
    <w:p w:rsidR="00E95795" w:rsidRDefault="00E95795" w:rsidP="00E103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0318"/>
    <w:rsid w:val="00001F4F"/>
    <w:rsid w:val="000027B2"/>
    <w:rsid w:val="00002B41"/>
    <w:rsid w:val="00004BDF"/>
    <w:rsid w:val="00006C56"/>
    <w:rsid w:val="00007703"/>
    <w:rsid w:val="00007D04"/>
    <w:rsid w:val="00010EF6"/>
    <w:rsid w:val="000126A2"/>
    <w:rsid w:val="00012A30"/>
    <w:rsid w:val="0001343F"/>
    <w:rsid w:val="00014316"/>
    <w:rsid w:val="00014FFA"/>
    <w:rsid w:val="00015894"/>
    <w:rsid w:val="00015C81"/>
    <w:rsid w:val="000205E5"/>
    <w:rsid w:val="0002070E"/>
    <w:rsid w:val="000218A0"/>
    <w:rsid w:val="00022E07"/>
    <w:rsid w:val="00027A4F"/>
    <w:rsid w:val="000309C3"/>
    <w:rsid w:val="00032DF0"/>
    <w:rsid w:val="00034730"/>
    <w:rsid w:val="000378D6"/>
    <w:rsid w:val="00040214"/>
    <w:rsid w:val="0004142D"/>
    <w:rsid w:val="00041848"/>
    <w:rsid w:val="000418F2"/>
    <w:rsid w:val="00044DA0"/>
    <w:rsid w:val="000450D5"/>
    <w:rsid w:val="000457F7"/>
    <w:rsid w:val="00045DA5"/>
    <w:rsid w:val="00047B43"/>
    <w:rsid w:val="00053AE2"/>
    <w:rsid w:val="00060F54"/>
    <w:rsid w:val="000675C5"/>
    <w:rsid w:val="00067FB4"/>
    <w:rsid w:val="00071466"/>
    <w:rsid w:val="00072300"/>
    <w:rsid w:val="000729D6"/>
    <w:rsid w:val="00081E95"/>
    <w:rsid w:val="00087BB5"/>
    <w:rsid w:val="00091744"/>
    <w:rsid w:val="000919E7"/>
    <w:rsid w:val="00093D6E"/>
    <w:rsid w:val="00096E5D"/>
    <w:rsid w:val="000A25B6"/>
    <w:rsid w:val="000A2E2A"/>
    <w:rsid w:val="000A3A03"/>
    <w:rsid w:val="000A47EA"/>
    <w:rsid w:val="000B438E"/>
    <w:rsid w:val="000B4446"/>
    <w:rsid w:val="000B5BCF"/>
    <w:rsid w:val="000C1190"/>
    <w:rsid w:val="000C1271"/>
    <w:rsid w:val="000C1A38"/>
    <w:rsid w:val="000C1B7F"/>
    <w:rsid w:val="000C531A"/>
    <w:rsid w:val="000C5D7F"/>
    <w:rsid w:val="000D05DD"/>
    <w:rsid w:val="000D211F"/>
    <w:rsid w:val="000D2CD4"/>
    <w:rsid w:val="000D3FC4"/>
    <w:rsid w:val="000D4155"/>
    <w:rsid w:val="000D5377"/>
    <w:rsid w:val="000D5AA3"/>
    <w:rsid w:val="000D768F"/>
    <w:rsid w:val="000D7D71"/>
    <w:rsid w:val="000E2386"/>
    <w:rsid w:val="000E52AC"/>
    <w:rsid w:val="000E6E41"/>
    <w:rsid w:val="000E7272"/>
    <w:rsid w:val="000F1320"/>
    <w:rsid w:val="000F5EC1"/>
    <w:rsid w:val="00111407"/>
    <w:rsid w:val="00111991"/>
    <w:rsid w:val="00115FD9"/>
    <w:rsid w:val="0011631F"/>
    <w:rsid w:val="001178AA"/>
    <w:rsid w:val="0012263F"/>
    <w:rsid w:val="001229B1"/>
    <w:rsid w:val="00123D00"/>
    <w:rsid w:val="00124FF7"/>
    <w:rsid w:val="001256C6"/>
    <w:rsid w:val="001265FA"/>
    <w:rsid w:val="0012795E"/>
    <w:rsid w:val="001279B2"/>
    <w:rsid w:val="00130591"/>
    <w:rsid w:val="001307E7"/>
    <w:rsid w:val="00130D89"/>
    <w:rsid w:val="001322BA"/>
    <w:rsid w:val="00132906"/>
    <w:rsid w:val="00133A13"/>
    <w:rsid w:val="001357C0"/>
    <w:rsid w:val="00136380"/>
    <w:rsid w:val="001404BF"/>
    <w:rsid w:val="00141B23"/>
    <w:rsid w:val="00142889"/>
    <w:rsid w:val="00144CBF"/>
    <w:rsid w:val="00145645"/>
    <w:rsid w:val="00146BFC"/>
    <w:rsid w:val="00147E68"/>
    <w:rsid w:val="001504D8"/>
    <w:rsid w:val="001542CF"/>
    <w:rsid w:val="00156864"/>
    <w:rsid w:val="00161C65"/>
    <w:rsid w:val="001636A8"/>
    <w:rsid w:val="00163786"/>
    <w:rsid w:val="001645E9"/>
    <w:rsid w:val="00164DC2"/>
    <w:rsid w:val="00164EEB"/>
    <w:rsid w:val="00166A6A"/>
    <w:rsid w:val="00167CD8"/>
    <w:rsid w:val="00170A1D"/>
    <w:rsid w:val="00171285"/>
    <w:rsid w:val="00172A0D"/>
    <w:rsid w:val="00172F80"/>
    <w:rsid w:val="001742A7"/>
    <w:rsid w:val="00175075"/>
    <w:rsid w:val="0017527E"/>
    <w:rsid w:val="00180806"/>
    <w:rsid w:val="00181D22"/>
    <w:rsid w:val="00183A08"/>
    <w:rsid w:val="00186987"/>
    <w:rsid w:val="00186C09"/>
    <w:rsid w:val="0019207D"/>
    <w:rsid w:val="001932FD"/>
    <w:rsid w:val="00194B1B"/>
    <w:rsid w:val="0019706A"/>
    <w:rsid w:val="00197BB8"/>
    <w:rsid w:val="001A0093"/>
    <w:rsid w:val="001A2C64"/>
    <w:rsid w:val="001A3B9A"/>
    <w:rsid w:val="001A7A09"/>
    <w:rsid w:val="001B33CE"/>
    <w:rsid w:val="001B56AC"/>
    <w:rsid w:val="001B69D1"/>
    <w:rsid w:val="001C5439"/>
    <w:rsid w:val="001D144A"/>
    <w:rsid w:val="001D1D43"/>
    <w:rsid w:val="001D4A5A"/>
    <w:rsid w:val="001E0354"/>
    <w:rsid w:val="001E0A32"/>
    <w:rsid w:val="001E0EE6"/>
    <w:rsid w:val="001E1D0E"/>
    <w:rsid w:val="001E1F0D"/>
    <w:rsid w:val="001E2289"/>
    <w:rsid w:val="001E744F"/>
    <w:rsid w:val="001E76C0"/>
    <w:rsid w:val="001F0ED7"/>
    <w:rsid w:val="001F193D"/>
    <w:rsid w:val="001F1FAA"/>
    <w:rsid w:val="001F3B32"/>
    <w:rsid w:val="001F5702"/>
    <w:rsid w:val="001F642D"/>
    <w:rsid w:val="002020A7"/>
    <w:rsid w:val="00203AEE"/>
    <w:rsid w:val="00204257"/>
    <w:rsid w:val="002052A0"/>
    <w:rsid w:val="00206F95"/>
    <w:rsid w:val="00211B2C"/>
    <w:rsid w:val="00213B90"/>
    <w:rsid w:val="002160E8"/>
    <w:rsid w:val="00220DD5"/>
    <w:rsid w:val="00222C9C"/>
    <w:rsid w:val="00227074"/>
    <w:rsid w:val="00232B9B"/>
    <w:rsid w:val="00234A57"/>
    <w:rsid w:val="00235141"/>
    <w:rsid w:val="00235EE4"/>
    <w:rsid w:val="00236D8B"/>
    <w:rsid w:val="00236EBA"/>
    <w:rsid w:val="002411D6"/>
    <w:rsid w:val="00243F71"/>
    <w:rsid w:val="00246800"/>
    <w:rsid w:val="00247E83"/>
    <w:rsid w:val="00251D11"/>
    <w:rsid w:val="00252E75"/>
    <w:rsid w:val="00252FA4"/>
    <w:rsid w:val="00254EFD"/>
    <w:rsid w:val="00256B89"/>
    <w:rsid w:val="00260C90"/>
    <w:rsid w:val="002630DB"/>
    <w:rsid w:val="00267EAA"/>
    <w:rsid w:val="0027111F"/>
    <w:rsid w:val="002743AE"/>
    <w:rsid w:val="00274F77"/>
    <w:rsid w:val="00290E5B"/>
    <w:rsid w:val="00293220"/>
    <w:rsid w:val="0029763A"/>
    <w:rsid w:val="002A4EAD"/>
    <w:rsid w:val="002B1945"/>
    <w:rsid w:val="002B21A9"/>
    <w:rsid w:val="002B3DB7"/>
    <w:rsid w:val="002B52D2"/>
    <w:rsid w:val="002C680C"/>
    <w:rsid w:val="002D2AC9"/>
    <w:rsid w:val="002D7013"/>
    <w:rsid w:val="002D7131"/>
    <w:rsid w:val="002E06E3"/>
    <w:rsid w:val="002E0782"/>
    <w:rsid w:val="002E453F"/>
    <w:rsid w:val="002E5202"/>
    <w:rsid w:val="002F0180"/>
    <w:rsid w:val="002F5001"/>
    <w:rsid w:val="002F524F"/>
    <w:rsid w:val="002F63BF"/>
    <w:rsid w:val="002F770A"/>
    <w:rsid w:val="00300000"/>
    <w:rsid w:val="00301C39"/>
    <w:rsid w:val="003036D7"/>
    <w:rsid w:val="00306629"/>
    <w:rsid w:val="00310D3E"/>
    <w:rsid w:val="003121C4"/>
    <w:rsid w:val="00314A1B"/>
    <w:rsid w:val="00321E66"/>
    <w:rsid w:val="00322992"/>
    <w:rsid w:val="00331698"/>
    <w:rsid w:val="003354B4"/>
    <w:rsid w:val="00336328"/>
    <w:rsid w:val="003377EC"/>
    <w:rsid w:val="00337C65"/>
    <w:rsid w:val="00344624"/>
    <w:rsid w:val="00344B3B"/>
    <w:rsid w:val="00350F87"/>
    <w:rsid w:val="0035251E"/>
    <w:rsid w:val="00356505"/>
    <w:rsid w:val="003575D2"/>
    <w:rsid w:val="00357A61"/>
    <w:rsid w:val="0036532F"/>
    <w:rsid w:val="00367BAD"/>
    <w:rsid w:val="00373032"/>
    <w:rsid w:val="003737C1"/>
    <w:rsid w:val="00375170"/>
    <w:rsid w:val="00375D6B"/>
    <w:rsid w:val="00386BFF"/>
    <w:rsid w:val="00386E99"/>
    <w:rsid w:val="00387601"/>
    <w:rsid w:val="003A0606"/>
    <w:rsid w:val="003A0DE1"/>
    <w:rsid w:val="003A128C"/>
    <w:rsid w:val="003A30A2"/>
    <w:rsid w:val="003A4D17"/>
    <w:rsid w:val="003B09EF"/>
    <w:rsid w:val="003B335F"/>
    <w:rsid w:val="003B4DB8"/>
    <w:rsid w:val="003B5BB2"/>
    <w:rsid w:val="003B6312"/>
    <w:rsid w:val="003B73F9"/>
    <w:rsid w:val="003C1AC4"/>
    <w:rsid w:val="003C240A"/>
    <w:rsid w:val="003C3566"/>
    <w:rsid w:val="003C37E8"/>
    <w:rsid w:val="003C6C64"/>
    <w:rsid w:val="003D0F18"/>
    <w:rsid w:val="003D1451"/>
    <w:rsid w:val="003D1729"/>
    <w:rsid w:val="003D1CBF"/>
    <w:rsid w:val="003D6561"/>
    <w:rsid w:val="003D69EE"/>
    <w:rsid w:val="003E03A8"/>
    <w:rsid w:val="003E1DD7"/>
    <w:rsid w:val="003E38B8"/>
    <w:rsid w:val="003E7684"/>
    <w:rsid w:val="003E7A54"/>
    <w:rsid w:val="003F014A"/>
    <w:rsid w:val="003F0E77"/>
    <w:rsid w:val="003F3819"/>
    <w:rsid w:val="003F7EE7"/>
    <w:rsid w:val="00400DE1"/>
    <w:rsid w:val="00401948"/>
    <w:rsid w:val="00406BB4"/>
    <w:rsid w:val="00407340"/>
    <w:rsid w:val="004075A8"/>
    <w:rsid w:val="00410228"/>
    <w:rsid w:val="00410D24"/>
    <w:rsid w:val="00411AFE"/>
    <w:rsid w:val="0041244E"/>
    <w:rsid w:val="00415E82"/>
    <w:rsid w:val="00416918"/>
    <w:rsid w:val="00420839"/>
    <w:rsid w:val="00421885"/>
    <w:rsid w:val="004234E4"/>
    <w:rsid w:val="004235EE"/>
    <w:rsid w:val="00424E58"/>
    <w:rsid w:val="004262AE"/>
    <w:rsid w:val="00426A23"/>
    <w:rsid w:val="00431964"/>
    <w:rsid w:val="00431AF9"/>
    <w:rsid w:val="004346DC"/>
    <w:rsid w:val="00434A6B"/>
    <w:rsid w:val="004360CB"/>
    <w:rsid w:val="004403AB"/>
    <w:rsid w:val="004441A1"/>
    <w:rsid w:val="004478DD"/>
    <w:rsid w:val="00456238"/>
    <w:rsid w:val="004564A5"/>
    <w:rsid w:val="004603E7"/>
    <w:rsid w:val="004621DB"/>
    <w:rsid w:val="00462D02"/>
    <w:rsid w:val="0046338E"/>
    <w:rsid w:val="00465CB5"/>
    <w:rsid w:val="00466410"/>
    <w:rsid w:val="00470073"/>
    <w:rsid w:val="0047220C"/>
    <w:rsid w:val="004742FA"/>
    <w:rsid w:val="004804EE"/>
    <w:rsid w:val="00480BB1"/>
    <w:rsid w:val="004811C2"/>
    <w:rsid w:val="00481768"/>
    <w:rsid w:val="00481839"/>
    <w:rsid w:val="00483052"/>
    <w:rsid w:val="00485DBC"/>
    <w:rsid w:val="0048690D"/>
    <w:rsid w:val="00487F3D"/>
    <w:rsid w:val="00490BD5"/>
    <w:rsid w:val="00491533"/>
    <w:rsid w:val="00491841"/>
    <w:rsid w:val="00493A6A"/>
    <w:rsid w:val="004942A9"/>
    <w:rsid w:val="0049541E"/>
    <w:rsid w:val="00496A90"/>
    <w:rsid w:val="004972CF"/>
    <w:rsid w:val="004A2BA5"/>
    <w:rsid w:val="004A3405"/>
    <w:rsid w:val="004A34E4"/>
    <w:rsid w:val="004A39FD"/>
    <w:rsid w:val="004A4AD7"/>
    <w:rsid w:val="004A564F"/>
    <w:rsid w:val="004A632A"/>
    <w:rsid w:val="004A6DCE"/>
    <w:rsid w:val="004A7DD0"/>
    <w:rsid w:val="004B0762"/>
    <w:rsid w:val="004B166E"/>
    <w:rsid w:val="004B2111"/>
    <w:rsid w:val="004B5232"/>
    <w:rsid w:val="004B78F2"/>
    <w:rsid w:val="004C1CF0"/>
    <w:rsid w:val="004C2FD9"/>
    <w:rsid w:val="004C535D"/>
    <w:rsid w:val="004D25B5"/>
    <w:rsid w:val="004D312C"/>
    <w:rsid w:val="004E3783"/>
    <w:rsid w:val="004E752F"/>
    <w:rsid w:val="004F1475"/>
    <w:rsid w:val="004F6DE4"/>
    <w:rsid w:val="00502E98"/>
    <w:rsid w:val="00510CE8"/>
    <w:rsid w:val="00516B94"/>
    <w:rsid w:val="005171FC"/>
    <w:rsid w:val="00523606"/>
    <w:rsid w:val="005269D9"/>
    <w:rsid w:val="00527256"/>
    <w:rsid w:val="00527923"/>
    <w:rsid w:val="00536DAF"/>
    <w:rsid w:val="00540849"/>
    <w:rsid w:val="005417B3"/>
    <w:rsid w:val="00544FAE"/>
    <w:rsid w:val="00551433"/>
    <w:rsid w:val="00551DB4"/>
    <w:rsid w:val="00551E86"/>
    <w:rsid w:val="005525FC"/>
    <w:rsid w:val="00553EDF"/>
    <w:rsid w:val="00560DE5"/>
    <w:rsid w:val="00561006"/>
    <w:rsid w:val="005610FE"/>
    <w:rsid w:val="005613D4"/>
    <w:rsid w:val="00562B73"/>
    <w:rsid w:val="00563E25"/>
    <w:rsid w:val="00564CAA"/>
    <w:rsid w:val="00567FE3"/>
    <w:rsid w:val="005704FD"/>
    <w:rsid w:val="00571FDE"/>
    <w:rsid w:val="00572C2E"/>
    <w:rsid w:val="00574631"/>
    <w:rsid w:val="00586F48"/>
    <w:rsid w:val="0058706E"/>
    <w:rsid w:val="005904DE"/>
    <w:rsid w:val="00591793"/>
    <w:rsid w:val="005919A6"/>
    <w:rsid w:val="00592935"/>
    <w:rsid w:val="00594B38"/>
    <w:rsid w:val="00595D9E"/>
    <w:rsid w:val="00596CB8"/>
    <w:rsid w:val="00597493"/>
    <w:rsid w:val="005A23D5"/>
    <w:rsid w:val="005A2617"/>
    <w:rsid w:val="005B0C05"/>
    <w:rsid w:val="005B4777"/>
    <w:rsid w:val="005C1660"/>
    <w:rsid w:val="005C32C4"/>
    <w:rsid w:val="005C3CDF"/>
    <w:rsid w:val="005C49A1"/>
    <w:rsid w:val="005D2205"/>
    <w:rsid w:val="005D260C"/>
    <w:rsid w:val="005D2C43"/>
    <w:rsid w:val="005D480E"/>
    <w:rsid w:val="005D770E"/>
    <w:rsid w:val="005F1221"/>
    <w:rsid w:val="005F1437"/>
    <w:rsid w:val="005F14EC"/>
    <w:rsid w:val="005F695E"/>
    <w:rsid w:val="0060203D"/>
    <w:rsid w:val="006029F4"/>
    <w:rsid w:val="00602F61"/>
    <w:rsid w:val="006047F6"/>
    <w:rsid w:val="00605D81"/>
    <w:rsid w:val="006104F4"/>
    <w:rsid w:val="006158CD"/>
    <w:rsid w:val="00616CE5"/>
    <w:rsid w:val="00621F1C"/>
    <w:rsid w:val="006239EE"/>
    <w:rsid w:val="0062707F"/>
    <w:rsid w:val="006314CD"/>
    <w:rsid w:val="00632374"/>
    <w:rsid w:val="0063625C"/>
    <w:rsid w:val="00641B4D"/>
    <w:rsid w:val="00642B56"/>
    <w:rsid w:val="0065474B"/>
    <w:rsid w:val="00655907"/>
    <w:rsid w:val="006636C1"/>
    <w:rsid w:val="00663960"/>
    <w:rsid w:val="00667D9F"/>
    <w:rsid w:val="0067646E"/>
    <w:rsid w:val="006778EC"/>
    <w:rsid w:val="00684BA9"/>
    <w:rsid w:val="0068558F"/>
    <w:rsid w:val="0068608C"/>
    <w:rsid w:val="006936E6"/>
    <w:rsid w:val="00693B6B"/>
    <w:rsid w:val="00694D93"/>
    <w:rsid w:val="006A4778"/>
    <w:rsid w:val="006A5939"/>
    <w:rsid w:val="006A6652"/>
    <w:rsid w:val="006B71ED"/>
    <w:rsid w:val="006C28A4"/>
    <w:rsid w:val="006C35D5"/>
    <w:rsid w:val="006C3C11"/>
    <w:rsid w:val="006C7C1D"/>
    <w:rsid w:val="006D095A"/>
    <w:rsid w:val="006D1D8E"/>
    <w:rsid w:val="006D33A1"/>
    <w:rsid w:val="006D62AE"/>
    <w:rsid w:val="006E1DB6"/>
    <w:rsid w:val="006E3AFA"/>
    <w:rsid w:val="006E52EC"/>
    <w:rsid w:val="006E640F"/>
    <w:rsid w:val="006F4BB1"/>
    <w:rsid w:val="006F52D1"/>
    <w:rsid w:val="006F6C50"/>
    <w:rsid w:val="006F6DF7"/>
    <w:rsid w:val="006F707D"/>
    <w:rsid w:val="00700296"/>
    <w:rsid w:val="007002F1"/>
    <w:rsid w:val="00700CE1"/>
    <w:rsid w:val="00701511"/>
    <w:rsid w:val="0070446A"/>
    <w:rsid w:val="00707381"/>
    <w:rsid w:val="00715436"/>
    <w:rsid w:val="00716B6E"/>
    <w:rsid w:val="00722352"/>
    <w:rsid w:val="00725D8F"/>
    <w:rsid w:val="00727AEB"/>
    <w:rsid w:val="007311DB"/>
    <w:rsid w:val="00731E22"/>
    <w:rsid w:val="007356D1"/>
    <w:rsid w:val="00735A87"/>
    <w:rsid w:val="007366A3"/>
    <w:rsid w:val="007504B3"/>
    <w:rsid w:val="0075110D"/>
    <w:rsid w:val="00751806"/>
    <w:rsid w:val="00762750"/>
    <w:rsid w:val="007643F0"/>
    <w:rsid w:val="00771454"/>
    <w:rsid w:val="00775AE4"/>
    <w:rsid w:val="00775C6A"/>
    <w:rsid w:val="00777D12"/>
    <w:rsid w:val="00780495"/>
    <w:rsid w:val="00780DE8"/>
    <w:rsid w:val="00781229"/>
    <w:rsid w:val="00782633"/>
    <w:rsid w:val="0078373D"/>
    <w:rsid w:val="0078610C"/>
    <w:rsid w:val="007865DC"/>
    <w:rsid w:val="00791199"/>
    <w:rsid w:val="00794509"/>
    <w:rsid w:val="00796DE9"/>
    <w:rsid w:val="007A3309"/>
    <w:rsid w:val="007A7254"/>
    <w:rsid w:val="007A7CAD"/>
    <w:rsid w:val="007B04D7"/>
    <w:rsid w:val="007B33F6"/>
    <w:rsid w:val="007B44F4"/>
    <w:rsid w:val="007B7C56"/>
    <w:rsid w:val="007C23DD"/>
    <w:rsid w:val="007C2606"/>
    <w:rsid w:val="007C48AB"/>
    <w:rsid w:val="007C7744"/>
    <w:rsid w:val="007D099C"/>
    <w:rsid w:val="007D182A"/>
    <w:rsid w:val="007D4177"/>
    <w:rsid w:val="007E0C09"/>
    <w:rsid w:val="007E0EC9"/>
    <w:rsid w:val="007E20CC"/>
    <w:rsid w:val="007E4A83"/>
    <w:rsid w:val="007E58DB"/>
    <w:rsid w:val="007F32FC"/>
    <w:rsid w:val="007F4D78"/>
    <w:rsid w:val="007F5F87"/>
    <w:rsid w:val="007F7A1F"/>
    <w:rsid w:val="00801441"/>
    <w:rsid w:val="0080271D"/>
    <w:rsid w:val="00802B0D"/>
    <w:rsid w:val="00802FF9"/>
    <w:rsid w:val="0080587D"/>
    <w:rsid w:val="00806111"/>
    <w:rsid w:val="00811100"/>
    <w:rsid w:val="00812B91"/>
    <w:rsid w:val="00812DB2"/>
    <w:rsid w:val="0081419E"/>
    <w:rsid w:val="008168C5"/>
    <w:rsid w:val="008174B3"/>
    <w:rsid w:val="008179B3"/>
    <w:rsid w:val="00822004"/>
    <w:rsid w:val="00822713"/>
    <w:rsid w:val="008246DA"/>
    <w:rsid w:val="00824757"/>
    <w:rsid w:val="0082475C"/>
    <w:rsid w:val="00826886"/>
    <w:rsid w:val="00830269"/>
    <w:rsid w:val="00831779"/>
    <w:rsid w:val="00834999"/>
    <w:rsid w:val="00834EDB"/>
    <w:rsid w:val="00836C87"/>
    <w:rsid w:val="00836D5C"/>
    <w:rsid w:val="0084048C"/>
    <w:rsid w:val="0084086B"/>
    <w:rsid w:val="008438B2"/>
    <w:rsid w:val="00843DF2"/>
    <w:rsid w:val="00844346"/>
    <w:rsid w:val="00846E7C"/>
    <w:rsid w:val="00851375"/>
    <w:rsid w:val="008519B8"/>
    <w:rsid w:val="00852331"/>
    <w:rsid w:val="008540F4"/>
    <w:rsid w:val="00854ABA"/>
    <w:rsid w:val="008578BC"/>
    <w:rsid w:val="0086122C"/>
    <w:rsid w:val="008615E0"/>
    <w:rsid w:val="0086173F"/>
    <w:rsid w:val="00865FCA"/>
    <w:rsid w:val="00871983"/>
    <w:rsid w:val="0087421B"/>
    <w:rsid w:val="00874FD7"/>
    <w:rsid w:val="00875100"/>
    <w:rsid w:val="00880AA5"/>
    <w:rsid w:val="0088397E"/>
    <w:rsid w:val="00886F15"/>
    <w:rsid w:val="00886F8F"/>
    <w:rsid w:val="0088744E"/>
    <w:rsid w:val="008918DF"/>
    <w:rsid w:val="00891C87"/>
    <w:rsid w:val="008A4831"/>
    <w:rsid w:val="008B0863"/>
    <w:rsid w:val="008B26FF"/>
    <w:rsid w:val="008C0F35"/>
    <w:rsid w:val="008D0B3A"/>
    <w:rsid w:val="008D1B48"/>
    <w:rsid w:val="008D2B54"/>
    <w:rsid w:val="008D4A0B"/>
    <w:rsid w:val="008D55B0"/>
    <w:rsid w:val="008D6AB5"/>
    <w:rsid w:val="008E01B3"/>
    <w:rsid w:val="008E224D"/>
    <w:rsid w:val="008E257F"/>
    <w:rsid w:val="008F23C3"/>
    <w:rsid w:val="008F4E0B"/>
    <w:rsid w:val="009008E9"/>
    <w:rsid w:val="00901F3A"/>
    <w:rsid w:val="0090232A"/>
    <w:rsid w:val="0090683A"/>
    <w:rsid w:val="00907C35"/>
    <w:rsid w:val="00913EEC"/>
    <w:rsid w:val="009145E5"/>
    <w:rsid w:val="0091479F"/>
    <w:rsid w:val="009149B8"/>
    <w:rsid w:val="00917491"/>
    <w:rsid w:val="00920C5E"/>
    <w:rsid w:val="0092116F"/>
    <w:rsid w:val="009212DF"/>
    <w:rsid w:val="00921DCE"/>
    <w:rsid w:val="00923771"/>
    <w:rsid w:val="00924C16"/>
    <w:rsid w:val="00926163"/>
    <w:rsid w:val="00926401"/>
    <w:rsid w:val="00930F04"/>
    <w:rsid w:val="009370F7"/>
    <w:rsid w:val="009452ED"/>
    <w:rsid w:val="00950F52"/>
    <w:rsid w:val="009525EB"/>
    <w:rsid w:val="00952CF7"/>
    <w:rsid w:val="00953F38"/>
    <w:rsid w:val="0095576E"/>
    <w:rsid w:val="00955BB3"/>
    <w:rsid w:val="00962489"/>
    <w:rsid w:val="00970572"/>
    <w:rsid w:val="0097066F"/>
    <w:rsid w:val="00970776"/>
    <w:rsid w:val="009803EC"/>
    <w:rsid w:val="00980754"/>
    <w:rsid w:val="00980FE4"/>
    <w:rsid w:val="0098598D"/>
    <w:rsid w:val="00987CCB"/>
    <w:rsid w:val="00997C52"/>
    <w:rsid w:val="009A0486"/>
    <w:rsid w:val="009A2C7C"/>
    <w:rsid w:val="009A310F"/>
    <w:rsid w:val="009A3CB7"/>
    <w:rsid w:val="009A615F"/>
    <w:rsid w:val="009B0832"/>
    <w:rsid w:val="009B24DD"/>
    <w:rsid w:val="009B5F29"/>
    <w:rsid w:val="009C2756"/>
    <w:rsid w:val="009C7D56"/>
    <w:rsid w:val="009D3CC7"/>
    <w:rsid w:val="009D6E1C"/>
    <w:rsid w:val="009D7C35"/>
    <w:rsid w:val="009E5672"/>
    <w:rsid w:val="009E6E27"/>
    <w:rsid w:val="009F127D"/>
    <w:rsid w:val="009F1A02"/>
    <w:rsid w:val="009F2FA8"/>
    <w:rsid w:val="009F3580"/>
    <w:rsid w:val="009F4485"/>
    <w:rsid w:val="009F62B9"/>
    <w:rsid w:val="009F66DB"/>
    <w:rsid w:val="00A011B2"/>
    <w:rsid w:val="00A01C60"/>
    <w:rsid w:val="00A057E2"/>
    <w:rsid w:val="00A1103C"/>
    <w:rsid w:val="00A1193C"/>
    <w:rsid w:val="00A1398F"/>
    <w:rsid w:val="00A1746E"/>
    <w:rsid w:val="00A209FF"/>
    <w:rsid w:val="00A20CC8"/>
    <w:rsid w:val="00A23884"/>
    <w:rsid w:val="00A308BE"/>
    <w:rsid w:val="00A32DF7"/>
    <w:rsid w:val="00A342B5"/>
    <w:rsid w:val="00A370E9"/>
    <w:rsid w:val="00A40055"/>
    <w:rsid w:val="00A46F09"/>
    <w:rsid w:val="00A51378"/>
    <w:rsid w:val="00A527E4"/>
    <w:rsid w:val="00A52D53"/>
    <w:rsid w:val="00A671D5"/>
    <w:rsid w:val="00A674B3"/>
    <w:rsid w:val="00A76472"/>
    <w:rsid w:val="00A7722A"/>
    <w:rsid w:val="00A8728A"/>
    <w:rsid w:val="00A87B82"/>
    <w:rsid w:val="00A9106E"/>
    <w:rsid w:val="00A910FA"/>
    <w:rsid w:val="00A912B2"/>
    <w:rsid w:val="00A93457"/>
    <w:rsid w:val="00A950B5"/>
    <w:rsid w:val="00AA0AD0"/>
    <w:rsid w:val="00AA1456"/>
    <w:rsid w:val="00AA1F42"/>
    <w:rsid w:val="00AA34C6"/>
    <w:rsid w:val="00AA4457"/>
    <w:rsid w:val="00AA6DA5"/>
    <w:rsid w:val="00AB3AAE"/>
    <w:rsid w:val="00AB52A6"/>
    <w:rsid w:val="00AC0D2A"/>
    <w:rsid w:val="00AC1BE8"/>
    <w:rsid w:val="00AC43D7"/>
    <w:rsid w:val="00AD15B2"/>
    <w:rsid w:val="00AD51F9"/>
    <w:rsid w:val="00AD5224"/>
    <w:rsid w:val="00AD534F"/>
    <w:rsid w:val="00AE0455"/>
    <w:rsid w:val="00AE10A2"/>
    <w:rsid w:val="00AE1A7E"/>
    <w:rsid w:val="00AE2A54"/>
    <w:rsid w:val="00AE3889"/>
    <w:rsid w:val="00AE64F2"/>
    <w:rsid w:val="00AE6855"/>
    <w:rsid w:val="00AE6A3A"/>
    <w:rsid w:val="00AF2591"/>
    <w:rsid w:val="00AF49A0"/>
    <w:rsid w:val="00B000FB"/>
    <w:rsid w:val="00B005A7"/>
    <w:rsid w:val="00B00611"/>
    <w:rsid w:val="00B01000"/>
    <w:rsid w:val="00B0133B"/>
    <w:rsid w:val="00B037E7"/>
    <w:rsid w:val="00B038F6"/>
    <w:rsid w:val="00B03A8E"/>
    <w:rsid w:val="00B131DD"/>
    <w:rsid w:val="00B14276"/>
    <w:rsid w:val="00B147DB"/>
    <w:rsid w:val="00B17A8E"/>
    <w:rsid w:val="00B22436"/>
    <w:rsid w:val="00B255D5"/>
    <w:rsid w:val="00B264D8"/>
    <w:rsid w:val="00B3073A"/>
    <w:rsid w:val="00B30895"/>
    <w:rsid w:val="00B31B05"/>
    <w:rsid w:val="00B31D0E"/>
    <w:rsid w:val="00B321DC"/>
    <w:rsid w:val="00B34DB2"/>
    <w:rsid w:val="00B3604E"/>
    <w:rsid w:val="00B420EF"/>
    <w:rsid w:val="00B51039"/>
    <w:rsid w:val="00B56D46"/>
    <w:rsid w:val="00B579C5"/>
    <w:rsid w:val="00B63B5E"/>
    <w:rsid w:val="00B64195"/>
    <w:rsid w:val="00B6597C"/>
    <w:rsid w:val="00B667C4"/>
    <w:rsid w:val="00B71644"/>
    <w:rsid w:val="00B74D55"/>
    <w:rsid w:val="00B76EF8"/>
    <w:rsid w:val="00B81B82"/>
    <w:rsid w:val="00B82BFF"/>
    <w:rsid w:val="00B865E9"/>
    <w:rsid w:val="00B91360"/>
    <w:rsid w:val="00B9139B"/>
    <w:rsid w:val="00B91A76"/>
    <w:rsid w:val="00B94762"/>
    <w:rsid w:val="00B962AA"/>
    <w:rsid w:val="00BA24BB"/>
    <w:rsid w:val="00BB00D2"/>
    <w:rsid w:val="00BB160B"/>
    <w:rsid w:val="00BB3ADD"/>
    <w:rsid w:val="00BC0173"/>
    <w:rsid w:val="00BC73E5"/>
    <w:rsid w:val="00BD1B2D"/>
    <w:rsid w:val="00BD384B"/>
    <w:rsid w:val="00BD3D26"/>
    <w:rsid w:val="00BD40C2"/>
    <w:rsid w:val="00BD4CCF"/>
    <w:rsid w:val="00BD5A42"/>
    <w:rsid w:val="00BE1DE3"/>
    <w:rsid w:val="00BF18C0"/>
    <w:rsid w:val="00BF6F8E"/>
    <w:rsid w:val="00C03FE2"/>
    <w:rsid w:val="00C04E60"/>
    <w:rsid w:val="00C060BC"/>
    <w:rsid w:val="00C06E37"/>
    <w:rsid w:val="00C07B47"/>
    <w:rsid w:val="00C07D85"/>
    <w:rsid w:val="00C11CF8"/>
    <w:rsid w:val="00C16228"/>
    <w:rsid w:val="00C16885"/>
    <w:rsid w:val="00C2479C"/>
    <w:rsid w:val="00C26C17"/>
    <w:rsid w:val="00C30ECA"/>
    <w:rsid w:val="00C31CA3"/>
    <w:rsid w:val="00C32F53"/>
    <w:rsid w:val="00C342DA"/>
    <w:rsid w:val="00C35B71"/>
    <w:rsid w:val="00C37681"/>
    <w:rsid w:val="00C45183"/>
    <w:rsid w:val="00C46AAF"/>
    <w:rsid w:val="00C46BE2"/>
    <w:rsid w:val="00C47C1F"/>
    <w:rsid w:val="00C47F5E"/>
    <w:rsid w:val="00C51E2D"/>
    <w:rsid w:val="00C56392"/>
    <w:rsid w:val="00C5640A"/>
    <w:rsid w:val="00C57133"/>
    <w:rsid w:val="00C66BD4"/>
    <w:rsid w:val="00C72B8E"/>
    <w:rsid w:val="00C77D36"/>
    <w:rsid w:val="00C8048A"/>
    <w:rsid w:val="00C8064B"/>
    <w:rsid w:val="00C81C08"/>
    <w:rsid w:val="00C82348"/>
    <w:rsid w:val="00C83498"/>
    <w:rsid w:val="00C85FFE"/>
    <w:rsid w:val="00C876A7"/>
    <w:rsid w:val="00C95573"/>
    <w:rsid w:val="00C955E6"/>
    <w:rsid w:val="00CA0AAC"/>
    <w:rsid w:val="00CA2A02"/>
    <w:rsid w:val="00CA665C"/>
    <w:rsid w:val="00CB0C98"/>
    <w:rsid w:val="00CB219A"/>
    <w:rsid w:val="00CB441A"/>
    <w:rsid w:val="00CB5F84"/>
    <w:rsid w:val="00CC4504"/>
    <w:rsid w:val="00CD3C4B"/>
    <w:rsid w:val="00CD47DB"/>
    <w:rsid w:val="00CD6D2A"/>
    <w:rsid w:val="00CE0DFD"/>
    <w:rsid w:val="00CE1F3B"/>
    <w:rsid w:val="00CE4D4F"/>
    <w:rsid w:val="00CE4E74"/>
    <w:rsid w:val="00CE788D"/>
    <w:rsid w:val="00CF029B"/>
    <w:rsid w:val="00CF0F47"/>
    <w:rsid w:val="00CF5345"/>
    <w:rsid w:val="00D03672"/>
    <w:rsid w:val="00D037B3"/>
    <w:rsid w:val="00D04CF1"/>
    <w:rsid w:val="00D06BEF"/>
    <w:rsid w:val="00D071CE"/>
    <w:rsid w:val="00D10DCD"/>
    <w:rsid w:val="00D11C70"/>
    <w:rsid w:val="00D12519"/>
    <w:rsid w:val="00D17669"/>
    <w:rsid w:val="00D27C2A"/>
    <w:rsid w:val="00D300BD"/>
    <w:rsid w:val="00D33DA5"/>
    <w:rsid w:val="00D3668D"/>
    <w:rsid w:val="00D37BD7"/>
    <w:rsid w:val="00D41712"/>
    <w:rsid w:val="00D422DD"/>
    <w:rsid w:val="00D4294B"/>
    <w:rsid w:val="00D439CD"/>
    <w:rsid w:val="00D467BE"/>
    <w:rsid w:val="00D50856"/>
    <w:rsid w:val="00D54B30"/>
    <w:rsid w:val="00D56A83"/>
    <w:rsid w:val="00D6024B"/>
    <w:rsid w:val="00D60BD1"/>
    <w:rsid w:val="00D61253"/>
    <w:rsid w:val="00D61615"/>
    <w:rsid w:val="00D618D3"/>
    <w:rsid w:val="00D61CE2"/>
    <w:rsid w:val="00D63D12"/>
    <w:rsid w:val="00D658E4"/>
    <w:rsid w:val="00D7241D"/>
    <w:rsid w:val="00D74DD5"/>
    <w:rsid w:val="00D7683A"/>
    <w:rsid w:val="00D77D24"/>
    <w:rsid w:val="00D80216"/>
    <w:rsid w:val="00D87CEB"/>
    <w:rsid w:val="00D916EC"/>
    <w:rsid w:val="00D918AF"/>
    <w:rsid w:val="00D935E3"/>
    <w:rsid w:val="00D940A7"/>
    <w:rsid w:val="00D94A82"/>
    <w:rsid w:val="00D96B89"/>
    <w:rsid w:val="00DA059E"/>
    <w:rsid w:val="00DA2668"/>
    <w:rsid w:val="00DA3C5E"/>
    <w:rsid w:val="00DA4EB2"/>
    <w:rsid w:val="00DA5727"/>
    <w:rsid w:val="00DA7656"/>
    <w:rsid w:val="00DB3158"/>
    <w:rsid w:val="00DB32F8"/>
    <w:rsid w:val="00DB35AA"/>
    <w:rsid w:val="00DB374C"/>
    <w:rsid w:val="00DC062B"/>
    <w:rsid w:val="00DC1637"/>
    <w:rsid w:val="00DC2205"/>
    <w:rsid w:val="00DC6ABE"/>
    <w:rsid w:val="00DC717E"/>
    <w:rsid w:val="00DC7B82"/>
    <w:rsid w:val="00DD17C3"/>
    <w:rsid w:val="00DD1873"/>
    <w:rsid w:val="00DD2F4D"/>
    <w:rsid w:val="00DD5EC6"/>
    <w:rsid w:val="00DE4799"/>
    <w:rsid w:val="00DE4D5C"/>
    <w:rsid w:val="00DE5A47"/>
    <w:rsid w:val="00DE5FC8"/>
    <w:rsid w:val="00DE6699"/>
    <w:rsid w:val="00DE6D1D"/>
    <w:rsid w:val="00DE72BE"/>
    <w:rsid w:val="00DF325B"/>
    <w:rsid w:val="00E031F7"/>
    <w:rsid w:val="00E0398C"/>
    <w:rsid w:val="00E07A30"/>
    <w:rsid w:val="00E07CE7"/>
    <w:rsid w:val="00E10318"/>
    <w:rsid w:val="00E10334"/>
    <w:rsid w:val="00E15045"/>
    <w:rsid w:val="00E1650A"/>
    <w:rsid w:val="00E16805"/>
    <w:rsid w:val="00E20D82"/>
    <w:rsid w:val="00E222FD"/>
    <w:rsid w:val="00E22704"/>
    <w:rsid w:val="00E26549"/>
    <w:rsid w:val="00E30F9F"/>
    <w:rsid w:val="00E3203A"/>
    <w:rsid w:val="00E33D6B"/>
    <w:rsid w:val="00E34D14"/>
    <w:rsid w:val="00E35E23"/>
    <w:rsid w:val="00E36FF6"/>
    <w:rsid w:val="00E43B68"/>
    <w:rsid w:val="00E45C13"/>
    <w:rsid w:val="00E46E3F"/>
    <w:rsid w:val="00E47CC9"/>
    <w:rsid w:val="00E5322F"/>
    <w:rsid w:val="00E54152"/>
    <w:rsid w:val="00E5437B"/>
    <w:rsid w:val="00E548AF"/>
    <w:rsid w:val="00E55A37"/>
    <w:rsid w:val="00E604AD"/>
    <w:rsid w:val="00E61E2D"/>
    <w:rsid w:val="00E64820"/>
    <w:rsid w:val="00E66817"/>
    <w:rsid w:val="00E7147D"/>
    <w:rsid w:val="00E72124"/>
    <w:rsid w:val="00E74E8A"/>
    <w:rsid w:val="00E76E11"/>
    <w:rsid w:val="00E81BDF"/>
    <w:rsid w:val="00E82A6D"/>
    <w:rsid w:val="00E83281"/>
    <w:rsid w:val="00E84468"/>
    <w:rsid w:val="00E85603"/>
    <w:rsid w:val="00E87692"/>
    <w:rsid w:val="00E878B0"/>
    <w:rsid w:val="00E879D0"/>
    <w:rsid w:val="00E9373C"/>
    <w:rsid w:val="00E95795"/>
    <w:rsid w:val="00E97C68"/>
    <w:rsid w:val="00EA0591"/>
    <w:rsid w:val="00EA286D"/>
    <w:rsid w:val="00EA3457"/>
    <w:rsid w:val="00EB016E"/>
    <w:rsid w:val="00EB2ABA"/>
    <w:rsid w:val="00EB6500"/>
    <w:rsid w:val="00EB7AAC"/>
    <w:rsid w:val="00EB7D00"/>
    <w:rsid w:val="00EB7F36"/>
    <w:rsid w:val="00EC1FA8"/>
    <w:rsid w:val="00EC30F0"/>
    <w:rsid w:val="00EC3DA5"/>
    <w:rsid w:val="00EC5457"/>
    <w:rsid w:val="00EC5EC6"/>
    <w:rsid w:val="00EC5FD5"/>
    <w:rsid w:val="00EC7297"/>
    <w:rsid w:val="00ED12E1"/>
    <w:rsid w:val="00ED134F"/>
    <w:rsid w:val="00ED135F"/>
    <w:rsid w:val="00ED2AEE"/>
    <w:rsid w:val="00ED5C9C"/>
    <w:rsid w:val="00EE14FE"/>
    <w:rsid w:val="00EE22D9"/>
    <w:rsid w:val="00EE5DCA"/>
    <w:rsid w:val="00EE613E"/>
    <w:rsid w:val="00EE7205"/>
    <w:rsid w:val="00EF2AA1"/>
    <w:rsid w:val="00EF6740"/>
    <w:rsid w:val="00F03029"/>
    <w:rsid w:val="00F03A6D"/>
    <w:rsid w:val="00F04B76"/>
    <w:rsid w:val="00F11795"/>
    <w:rsid w:val="00F1244D"/>
    <w:rsid w:val="00F16C2C"/>
    <w:rsid w:val="00F20C91"/>
    <w:rsid w:val="00F212EA"/>
    <w:rsid w:val="00F24220"/>
    <w:rsid w:val="00F2781A"/>
    <w:rsid w:val="00F304D9"/>
    <w:rsid w:val="00F32CD5"/>
    <w:rsid w:val="00F3490B"/>
    <w:rsid w:val="00F368A8"/>
    <w:rsid w:val="00F42E7B"/>
    <w:rsid w:val="00F4387D"/>
    <w:rsid w:val="00F44334"/>
    <w:rsid w:val="00F46ADE"/>
    <w:rsid w:val="00F501ED"/>
    <w:rsid w:val="00F50A56"/>
    <w:rsid w:val="00F50CB0"/>
    <w:rsid w:val="00F563A7"/>
    <w:rsid w:val="00F57E41"/>
    <w:rsid w:val="00F60F54"/>
    <w:rsid w:val="00F659EC"/>
    <w:rsid w:val="00F7169D"/>
    <w:rsid w:val="00F736CB"/>
    <w:rsid w:val="00F74E34"/>
    <w:rsid w:val="00F7668F"/>
    <w:rsid w:val="00F772BD"/>
    <w:rsid w:val="00F846A7"/>
    <w:rsid w:val="00F85024"/>
    <w:rsid w:val="00F8555F"/>
    <w:rsid w:val="00F87A6D"/>
    <w:rsid w:val="00F87AA4"/>
    <w:rsid w:val="00F926D0"/>
    <w:rsid w:val="00F95277"/>
    <w:rsid w:val="00F96D5C"/>
    <w:rsid w:val="00FA123C"/>
    <w:rsid w:val="00FA1E0D"/>
    <w:rsid w:val="00FA3E3D"/>
    <w:rsid w:val="00FA5899"/>
    <w:rsid w:val="00FA74D3"/>
    <w:rsid w:val="00FB2A46"/>
    <w:rsid w:val="00FB5474"/>
    <w:rsid w:val="00FB7EA1"/>
    <w:rsid w:val="00FC218E"/>
    <w:rsid w:val="00FC6666"/>
    <w:rsid w:val="00FD1B47"/>
    <w:rsid w:val="00FD2B72"/>
    <w:rsid w:val="00FD3217"/>
    <w:rsid w:val="00FD46B7"/>
    <w:rsid w:val="00FD4F0C"/>
    <w:rsid w:val="00FD6F09"/>
    <w:rsid w:val="00FD7D36"/>
    <w:rsid w:val="00FE01A8"/>
    <w:rsid w:val="00FE025F"/>
    <w:rsid w:val="00FE0372"/>
    <w:rsid w:val="00FE0821"/>
    <w:rsid w:val="00FE0D64"/>
    <w:rsid w:val="00FE1E3F"/>
    <w:rsid w:val="00FE4122"/>
    <w:rsid w:val="00FE415E"/>
    <w:rsid w:val="00FE66A1"/>
    <w:rsid w:val="00FF0EFD"/>
    <w:rsid w:val="00FF247D"/>
    <w:rsid w:val="00FF6D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5D5"/>
    <w:pPr>
      <w:widowControl w:val="0"/>
      <w:jc w:val="both"/>
    </w:pPr>
  </w:style>
  <w:style w:type="paragraph" w:styleId="1">
    <w:name w:val="heading 1"/>
    <w:basedOn w:val="a"/>
    <w:link w:val="1Char"/>
    <w:uiPriority w:val="9"/>
    <w:qFormat/>
    <w:rsid w:val="00E10318"/>
    <w:pPr>
      <w:widowControl/>
      <w:spacing w:before="100" w:beforeAutospacing="1" w:after="100" w:afterAutospacing="1"/>
      <w:jc w:val="left"/>
      <w:outlineLvl w:val="0"/>
    </w:pPr>
    <w:rPr>
      <w:rFonts w:ascii="宋体" w:eastAsia="宋体" w:hAnsi="宋体" w:cs="宋体"/>
      <w:b/>
      <w:bCs/>
      <w:kern w:val="36"/>
      <w:sz w:val="24"/>
      <w:szCs w:val="24"/>
    </w:rPr>
  </w:style>
  <w:style w:type="paragraph" w:styleId="2">
    <w:name w:val="heading 2"/>
    <w:basedOn w:val="a"/>
    <w:link w:val="2Char"/>
    <w:uiPriority w:val="9"/>
    <w:qFormat/>
    <w:rsid w:val="00E10318"/>
    <w:pPr>
      <w:widowControl/>
      <w:spacing w:before="100" w:beforeAutospacing="1" w:after="100" w:afterAutospacing="1"/>
      <w:jc w:val="left"/>
      <w:outlineLvl w:val="1"/>
    </w:pPr>
    <w:rPr>
      <w:rFonts w:ascii="宋体" w:eastAsia="宋体" w:hAnsi="宋体" w:cs="宋体"/>
      <w:b/>
      <w:bCs/>
      <w:kern w:val="0"/>
      <w:szCs w:val="21"/>
    </w:rPr>
  </w:style>
  <w:style w:type="paragraph" w:styleId="3">
    <w:name w:val="heading 3"/>
    <w:basedOn w:val="a"/>
    <w:link w:val="3Char"/>
    <w:uiPriority w:val="9"/>
    <w:qFormat/>
    <w:rsid w:val="00E10318"/>
    <w:pPr>
      <w:widowControl/>
      <w:spacing w:before="100" w:beforeAutospacing="1" w:after="100" w:afterAutospacing="1"/>
      <w:jc w:val="left"/>
      <w:outlineLvl w:val="2"/>
    </w:pPr>
    <w:rPr>
      <w:rFonts w:ascii="宋体" w:eastAsia="宋体" w:hAnsi="宋体" w:cs="宋体"/>
      <w:b/>
      <w:bCs/>
      <w:kern w:val="0"/>
      <w:szCs w:val="21"/>
    </w:rPr>
  </w:style>
  <w:style w:type="paragraph" w:styleId="4">
    <w:name w:val="heading 4"/>
    <w:basedOn w:val="a"/>
    <w:link w:val="4Char"/>
    <w:uiPriority w:val="9"/>
    <w:qFormat/>
    <w:rsid w:val="00E10318"/>
    <w:pPr>
      <w:widowControl/>
      <w:spacing w:before="100" w:beforeAutospacing="1" w:after="100" w:afterAutospacing="1"/>
      <w:jc w:val="left"/>
      <w:outlineLvl w:val="3"/>
    </w:pPr>
    <w:rPr>
      <w:rFonts w:ascii="宋体" w:eastAsia="宋体" w:hAnsi="宋体" w:cs="宋体"/>
      <w:b/>
      <w:bCs/>
      <w:kern w:val="0"/>
      <w:sz w:val="18"/>
      <w:szCs w:val="18"/>
    </w:rPr>
  </w:style>
  <w:style w:type="paragraph" w:styleId="5">
    <w:name w:val="heading 5"/>
    <w:basedOn w:val="a"/>
    <w:link w:val="5Char"/>
    <w:uiPriority w:val="9"/>
    <w:qFormat/>
    <w:rsid w:val="00E10318"/>
    <w:pPr>
      <w:widowControl/>
      <w:spacing w:before="100" w:beforeAutospacing="1" w:after="100" w:afterAutospacing="1"/>
      <w:jc w:val="left"/>
      <w:outlineLvl w:val="4"/>
    </w:pPr>
    <w:rPr>
      <w:rFonts w:ascii="宋体" w:eastAsia="宋体" w:hAnsi="宋体" w:cs="宋体"/>
      <w:b/>
      <w:bCs/>
      <w:kern w:val="0"/>
      <w:sz w:val="18"/>
      <w:szCs w:val="18"/>
    </w:rPr>
  </w:style>
  <w:style w:type="paragraph" w:styleId="6">
    <w:name w:val="heading 6"/>
    <w:basedOn w:val="a"/>
    <w:link w:val="6Char"/>
    <w:uiPriority w:val="9"/>
    <w:qFormat/>
    <w:rsid w:val="00E10318"/>
    <w:pPr>
      <w:widowControl/>
      <w:spacing w:before="100" w:beforeAutospacing="1" w:after="100" w:afterAutospacing="1"/>
      <w:jc w:val="left"/>
      <w:outlineLvl w:val="5"/>
    </w:pPr>
    <w:rPr>
      <w:rFonts w:ascii="宋体" w:eastAsia="宋体" w:hAnsi="宋体"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03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0318"/>
    <w:rPr>
      <w:sz w:val="18"/>
      <w:szCs w:val="18"/>
    </w:rPr>
  </w:style>
  <w:style w:type="paragraph" w:styleId="a4">
    <w:name w:val="footer"/>
    <w:basedOn w:val="a"/>
    <w:link w:val="Char0"/>
    <w:uiPriority w:val="99"/>
    <w:semiHidden/>
    <w:unhideWhenUsed/>
    <w:rsid w:val="00E1031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10318"/>
    <w:rPr>
      <w:sz w:val="18"/>
      <w:szCs w:val="18"/>
    </w:rPr>
  </w:style>
  <w:style w:type="character" w:customStyle="1" w:styleId="1Char">
    <w:name w:val="标题 1 Char"/>
    <w:basedOn w:val="a0"/>
    <w:link w:val="1"/>
    <w:uiPriority w:val="9"/>
    <w:rsid w:val="00E10318"/>
    <w:rPr>
      <w:rFonts w:ascii="宋体" w:eastAsia="宋体" w:hAnsi="宋体" w:cs="宋体"/>
      <w:b/>
      <w:bCs/>
      <w:kern w:val="36"/>
      <w:sz w:val="24"/>
      <w:szCs w:val="24"/>
    </w:rPr>
  </w:style>
  <w:style w:type="character" w:customStyle="1" w:styleId="2Char">
    <w:name w:val="标题 2 Char"/>
    <w:basedOn w:val="a0"/>
    <w:link w:val="2"/>
    <w:uiPriority w:val="9"/>
    <w:rsid w:val="00E10318"/>
    <w:rPr>
      <w:rFonts w:ascii="宋体" w:eastAsia="宋体" w:hAnsi="宋体" w:cs="宋体"/>
      <w:b/>
      <w:bCs/>
      <w:kern w:val="0"/>
      <w:szCs w:val="21"/>
    </w:rPr>
  </w:style>
  <w:style w:type="character" w:customStyle="1" w:styleId="3Char">
    <w:name w:val="标题 3 Char"/>
    <w:basedOn w:val="a0"/>
    <w:link w:val="3"/>
    <w:uiPriority w:val="9"/>
    <w:rsid w:val="00E10318"/>
    <w:rPr>
      <w:rFonts w:ascii="宋体" w:eastAsia="宋体" w:hAnsi="宋体" w:cs="宋体"/>
      <w:b/>
      <w:bCs/>
      <w:kern w:val="0"/>
      <w:szCs w:val="21"/>
    </w:rPr>
  </w:style>
  <w:style w:type="character" w:customStyle="1" w:styleId="4Char">
    <w:name w:val="标题 4 Char"/>
    <w:basedOn w:val="a0"/>
    <w:link w:val="4"/>
    <w:uiPriority w:val="9"/>
    <w:rsid w:val="00E10318"/>
    <w:rPr>
      <w:rFonts w:ascii="宋体" w:eastAsia="宋体" w:hAnsi="宋体" w:cs="宋体"/>
      <w:b/>
      <w:bCs/>
      <w:kern w:val="0"/>
      <w:sz w:val="18"/>
      <w:szCs w:val="18"/>
    </w:rPr>
  </w:style>
  <w:style w:type="character" w:customStyle="1" w:styleId="5Char">
    <w:name w:val="标题 5 Char"/>
    <w:basedOn w:val="a0"/>
    <w:link w:val="5"/>
    <w:uiPriority w:val="9"/>
    <w:rsid w:val="00E10318"/>
    <w:rPr>
      <w:rFonts w:ascii="宋体" w:eastAsia="宋体" w:hAnsi="宋体" w:cs="宋体"/>
      <w:b/>
      <w:bCs/>
      <w:kern w:val="0"/>
      <w:sz w:val="18"/>
      <w:szCs w:val="18"/>
    </w:rPr>
  </w:style>
  <w:style w:type="character" w:customStyle="1" w:styleId="6Char">
    <w:name w:val="标题 6 Char"/>
    <w:basedOn w:val="a0"/>
    <w:link w:val="6"/>
    <w:uiPriority w:val="9"/>
    <w:rsid w:val="00E10318"/>
    <w:rPr>
      <w:rFonts w:ascii="宋体" w:eastAsia="宋体" w:hAnsi="宋体" w:cs="宋体"/>
      <w:b/>
      <w:bCs/>
      <w:kern w:val="0"/>
      <w:sz w:val="18"/>
      <w:szCs w:val="18"/>
    </w:rPr>
  </w:style>
  <w:style w:type="character" w:styleId="a5">
    <w:name w:val="Hyperlink"/>
    <w:basedOn w:val="a0"/>
    <w:uiPriority w:val="99"/>
    <w:semiHidden/>
    <w:unhideWhenUsed/>
    <w:rsid w:val="00E10318"/>
    <w:rPr>
      <w:strike w:val="0"/>
      <w:dstrike w:val="0"/>
      <w:color w:val="333333"/>
      <w:u w:val="none"/>
      <w:effect w:val="none"/>
    </w:rPr>
  </w:style>
  <w:style w:type="character" w:styleId="a6">
    <w:name w:val="FollowedHyperlink"/>
    <w:basedOn w:val="a0"/>
    <w:uiPriority w:val="99"/>
    <w:semiHidden/>
    <w:unhideWhenUsed/>
    <w:rsid w:val="00E10318"/>
    <w:rPr>
      <w:strike w:val="0"/>
      <w:dstrike w:val="0"/>
      <w:color w:val="333333"/>
      <w:u w:val="none"/>
      <w:effect w:val="none"/>
    </w:rPr>
  </w:style>
  <w:style w:type="paragraph" w:customStyle="1" w:styleId="olmunber">
    <w:name w:val="olmunber"/>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clearfix">
    <w:name w:val="clearfix"/>
    <w:basedOn w:val="a"/>
    <w:rsid w:val="00E10318"/>
    <w:pPr>
      <w:widowControl/>
      <w:spacing w:before="100" w:beforeAutospacing="1" w:after="100" w:afterAutospacing="1" w:line="0" w:lineRule="auto"/>
      <w:jc w:val="left"/>
    </w:pPr>
    <w:rPr>
      <w:rFonts w:ascii="宋体" w:eastAsia="宋体" w:hAnsi="宋体" w:cs="宋体"/>
      <w:kern w:val="0"/>
      <w:sz w:val="24"/>
      <w:szCs w:val="24"/>
    </w:rPr>
  </w:style>
  <w:style w:type="paragraph" w:customStyle="1" w:styleId="nobr">
    <w:name w:val="nobr"/>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box">
    <w:name w:val="box"/>
    <w:basedOn w:val="a"/>
    <w:rsid w:val="00E10318"/>
    <w:pPr>
      <w:widowControl/>
      <w:pBdr>
        <w:top w:val="single" w:sz="6" w:space="0" w:color="CFCFCF"/>
        <w:left w:val="single" w:sz="6" w:space="0" w:color="CFCFCF"/>
        <w:bottom w:val="single" w:sz="6" w:space="0" w:color="CFCFCF"/>
        <w:right w:val="single" w:sz="6" w:space="0" w:color="CFCFC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databox">
    <w:name w:val="databox"/>
    <w:basedOn w:val="a"/>
    <w:rsid w:val="00E10318"/>
    <w:pPr>
      <w:widowControl/>
      <w:pBdr>
        <w:top w:val="single" w:sz="6" w:space="0" w:color="CFCFCF"/>
        <w:left w:val="single" w:sz="6" w:space="0" w:color="CFCFCF"/>
        <w:bottom w:val="single" w:sz="6" w:space="0" w:color="CFCFCF"/>
        <w:right w:val="single" w:sz="6" w:space="0" w:color="CFCFC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fl715">
    <w:name w:val="fl_715"/>
    <w:basedOn w:val="a"/>
    <w:rsid w:val="00E10318"/>
    <w:pPr>
      <w:widowControl/>
      <w:ind w:left="120"/>
      <w:jc w:val="left"/>
    </w:pPr>
    <w:rPr>
      <w:rFonts w:ascii="宋体" w:eastAsia="宋体" w:hAnsi="宋体" w:cs="宋体"/>
      <w:kern w:val="0"/>
      <w:sz w:val="24"/>
      <w:szCs w:val="24"/>
    </w:rPr>
  </w:style>
  <w:style w:type="paragraph" w:customStyle="1" w:styleId="fl715b">
    <w:name w:val="fl_715b"/>
    <w:basedOn w:val="a"/>
    <w:rsid w:val="00E10318"/>
    <w:pPr>
      <w:widowControl/>
      <w:pBdr>
        <w:top w:val="single" w:sz="6" w:space="0" w:color="D7D7D7"/>
        <w:left w:val="single" w:sz="6" w:space="0" w:color="D7D7D7"/>
        <w:bottom w:val="single" w:sz="6" w:space="0" w:color="D7D7D7"/>
        <w:right w:val="single" w:sz="6" w:space="0" w:color="D7D7D7"/>
      </w:pBdr>
      <w:spacing w:before="100" w:beforeAutospacing="1" w:after="100" w:afterAutospacing="1"/>
      <w:ind w:left="120"/>
      <w:jc w:val="center"/>
    </w:pPr>
    <w:rPr>
      <w:rFonts w:ascii="宋体" w:eastAsia="宋体" w:hAnsi="宋体" w:cs="宋体"/>
      <w:kern w:val="0"/>
      <w:sz w:val="24"/>
      <w:szCs w:val="24"/>
    </w:rPr>
  </w:style>
  <w:style w:type="paragraph" w:customStyle="1" w:styleId="p4">
    <w:name w:val="p4"/>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box270">
    <w:name w:val="box270"/>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box610">
    <w:name w:val="box610"/>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conncent">
    <w:name w:val="conncent"/>
    <w:basedOn w:val="a"/>
    <w:rsid w:val="00E10318"/>
    <w:pPr>
      <w:widowControl/>
      <w:spacing w:before="75" w:after="100" w:afterAutospacing="1"/>
      <w:jc w:val="left"/>
    </w:pPr>
    <w:rPr>
      <w:rFonts w:ascii="宋体" w:eastAsia="宋体" w:hAnsi="宋体" w:cs="宋体"/>
      <w:kern w:val="0"/>
      <w:sz w:val="24"/>
      <w:szCs w:val="24"/>
    </w:rPr>
  </w:style>
  <w:style w:type="paragraph" w:customStyle="1" w:styleId="sitemap">
    <w:name w:val="sitemap"/>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sitecu">
    <w:name w:val="site_cu"/>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siteal">
    <w:name w:val="site_al"/>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sitezn">
    <w:name w:val="site_zn"/>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sitepb">
    <w:name w:val="site_pb"/>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siteni">
    <w:name w:val="site_ni"/>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sitesn">
    <w:name w:val="site_sn"/>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siteau">
    <w:name w:val="site_au"/>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siteag">
    <w:name w:val="site_ag"/>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siterb">
    <w:name w:val="site_rb"/>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sitewr">
    <w:name w:val="site_wr"/>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sitehc">
    <w:name w:val="site_hc"/>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sitefu">
    <w:name w:val="site_fu"/>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sitebu">
    <w:name w:val="site_bu"/>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siteru">
    <w:name w:val="site_ru"/>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siteshuju">
    <w:name w:val="site_shuju"/>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banner-title">
    <w:name w:val="banner-title"/>
    <w:basedOn w:val="a"/>
    <w:rsid w:val="00E10318"/>
    <w:pPr>
      <w:widowControl/>
      <w:spacing w:before="100" w:beforeAutospacing="1" w:after="100" w:afterAutospacing="1"/>
      <w:jc w:val="right"/>
    </w:pPr>
    <w:rPr>
      <w:rFonts w:ascii="宋体" w:eastAsia="宋体" w:hAnsi="宋体" w:cs="宋体"/>
      <w:color w:val="FFFFFF"/>
      <w:kern w:val="0"/>
      <w:sz w:val="87"/>
      <w:szCs w:val="87"/>
    </w:rPr>
  </w:style>
  <w:style w:type="paragraph" w:customStyle="1" w:styleId="dt">
    <w:name w:val="dt"/>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txtpic">
    <w:name w:val="txt_pic"/>
    <w:basedOn w:val="a"/>
    <w:rsid w:val="00E10318"/>
    <w:pPr>
      <w:widowControl/>
      <w:spacing w:before="100" w:beforeAutospacing="1" w:after="100" w:afterAutospacing="1"/>
      <w:ind w:left="225"/>
      <w:jc w:val="left"/>
    </w:pPr>
    <w:rPr>
      <w:rFonts w:ascii="宋体" w:eastAsia="宋体" w:hAnsi="宋体" w:cs="宋体"/>
      <w:kern w:val="0"/>
      <w:sz w:val="18"/>
      <w:szCs w:val="18"/>
    </w:rPr>
  </w:style>
  <w:style w:type="paragraph" w:customStyle="1" w:styleId="excelpic">
    <w:name w:val="excel_pic"/>
    <w:basedOn w:val="a"/>
    <w:rsid w:val="00E10318"/>
    <w:pPr>
      <w:widowControl/>
      <w:spacing w:before="100" w:beforeAutospacing="1" w:after="100" w:afterAutospacing="1"/>
      <w:ind w:left="225"/>
      <w:jc w:val="left"/>
    </w:pPr>
    <w:rPr>
      <w:rFonts w:ascii="宋体" w:eastAsia="宋体" w:hAnsi="宋体" w:cs="宋体"/>
      <w:kern w:val="0"/>
      <w:sz w:val="18"/>
      <w:szCs w:val="18"/>
    </w:rPr>
  </w:style>
  <w:style w:type="paragraph" w:customStyle="1" w:styleId="printpic">
    <w:name w:val="print_pic"/>
    <w:basedOn w:val="a"/>
    <w:rsid w:val="00E10318"/>
    <w:pPr>
      <w:widowControl/>
      <w:spacing w:before="100" w:beforeAutospacing="1" w:after="100" w:afterAutospacing="1"/>
      <w:ind w:left="225"/>
      <w:jc w:val="left"/>
    </w:pPr>
    <w:rPr>
      <w:rFonts w:ascii="宋体" w:eastAsia="宋体" w:hAnsi="宋体" w:cs="宋体"/>
      <w:kern w:val="0"/>
      <w:sz w:val="18"/>
      <w:szCs w:val="18"/>
    </w:rPr>
  </w:style>
  <w:style w:type="paragraph" w:customStyle="1" w:styleId="mores">
    <w:name w:val="more_s"/>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copyright">
    <w:name w:val="copyright"/>
    <w:basedOn w:val="a"/>
    <w:rsid w:val="00E10318"/>
    <w:pPr>
      <w:widowControl/>
      <w:spacing w:before="100" w:beforeAutospacing="1" w:after="100" w:afterAutospacing="1" w:line="420" w:lineRule="atLeast"/>
      <w:jc w:val="left"/>
    </w:pPr>
    <w:rPr>
      <w:rFonts w:ascii="微软雅黑" w:eastAsia="微软雅黑" w:hAnsi="微软雅黑" w:cs="宋体"/>
      <w:color w:val="8A8A8A"/>
      <w:kern w:val="0"/>
      <w:sz w:val="24"/>
      <w:szCs w:val="24"/>
    </w:rPr>
  </w:style>
  <w:style w:type="paragraph" w:customStyle="1" w:styleId="gray">
    <w:name w:val="gray"/>
    <w:basedOn w:val="a"/>
    <w:rsid w:val="00E10318"/>
    <w:pPr>
      <w:widowControl/>
      <w:spacing w:before="100" w:beforeAutospacing="1" w:after="100" w:afterAutospacing="1"/>
      <w:jc w:val="left"/>
    </w:pPr>
    <w:rPr>
      <w:rFonts w:ascii="宋体" w:eastAsia="宋体" w:hAnsi="宋体" w:cs="宋体"/>
      <w:color w:val="757575"/>
      <w:kern w:val="0"/>
      <w:sz w:val="24"/>
      <w:szCs w:val="24"/>
    </w:rPr>
  </w:style>
  <w:style w:type="paragraph" w:customStyle="1" w:styleId="came">
    <w:name w:val="came"/>
    <w:basedOn w:val="a"/>
    <w:rsid w:val="00E10318"/>
    <w:pPr>
      <w:widowControl/>
      <w:spacing w:before="100" w:beforeAutospacing="1" w:after="100" w:afterAutospacing="1"/>
      <w:ind w:right="225"/>
      <w:jc w:val="left"/>
    </w:pPr>
    <w:rPr>
      <w:rFonts w:ascii="宋体" w:eastAsia="宋体" w:hAnsi="宋体" w:cs="宋体"/>
      <w:kern w:val="0"/>
      <w:sz w:val="24"/>
      <w:szCs w:val="24"/>
    </w:rPr>
  </w:style>
  <w:style w:type="paragraph" w:customStyle="1" w:styleId="heyue">
    <w:name w:val="heyue"/>
    <w:basedOn w:val="a"/>
    <w:rsid w:val="00E10318"/>
    <w:pPr>
      <w:widowControl/>
      <w:spacing w:before="100" w:beforeAutospacing="1" w:after="225"/>
      <w:jc w:val="left"/>
    </w:pPr>
    <w:rPr>
      <w:rFonts w:ascii="宋体" w:eastAsia="宋体" w:hAnsi="宋体" w:cs="宋体"/>
      <w:kern w:val="0"/>
      <w:sz w:val="24"/>
      <w:szCs w:val="24"/>
    </w:rPr>
  </w:style>
  <w:style w:type="paragraph" w:customStyle="1" w:styleId="heyue3">
    <w:name w:val="heyue_3"/>
    <w:basedOn w:val="a"/>
    <w:rsid w:val="00E10318"/>
    <w:pPr>
      <w:widowControl/>
      <w:pBdr>
        <w:top w:val="single" w:sz="6" w:space="0" w:color="CFCFCF"/>
      </w:pBdr>
      <w:spacing w:before="100" w:beforeAutospacing="1" w:after="100" w:afterAutospacing="1"/>
      <w:jc w:val="left"/>
    </w:pPr>
    <w:rPr>
      <w:rFonts w:ascii="宋体" w:eastAsia="宋体" w:hAnsi="宋体" w:cs="宋体"/>
      <w:kern w:val="0"/>
      <w:sz w:val="24"/>
      <w:szCs w:val="24"/>
    </w:rPr>
  </w:style>
  <w:style w:type="paragraph" w:customStyle="1" w:styleId="cuhq3">
    <w:name w:val="cuhq_3"/>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huodong260">
    <w:name w:val="huodong260"/>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canshubox">
    <w:name w:val="canshubox"/>
    <w:basedOn w:val="a"/>
    <w:rsid w:val="00E10318"/>
    <w:pPr>
      <w:widowControl/>
      <w:spacing w:before="100" w:beforeAutospacing="1" w:after="225"/>
      <w:jc w:val="left"/>
    </w:pPr>
    <w:rPr>
      <w:rFonts w:ascii="宋体" w:eastAsia="宋体" w:hAnsi="宋体" w:cs="宋体"/>
      <w:kern w:val="0"/>
      <w:sz w:val="24"/>
      <w:szCs w:val="24"/>
    </w:rPr>
  </w:style>
  <w:style w:type="paragraph" w:customStyle="1" w:styleId="tabhd">
    <w:name w:val="tab_hd"/>
    <w:basedOn w:val="a"/>
    <w:rsid w:val="00E10318"/>
    <w:pPr>
      <w:widowControl/>
      <w:pBdr>
        <w:left w:val="single" w:sz="6" w:space="0" w:color="CFCFCF"/>
      </w:pBdr>
      <w:spacing w:before="100" w:beforeAutospacing="1" w:after="100" w:afterAutospacing="1"/>
      <w:jc w:val="left"/>
    </w:pPr>
    <w:rPr>
      <w:rFonts w:ascii="宋体" w:eastAsia="宋体" w:hAnsi="宋体" w:cs="宋体"/>
      <w:kern w:val="0"/>
      <w:sz w:val="24"/>
      <w:szCs w:val="24"/>
    </w:rPr>
  </w:style>
  <w:style w:type="paragraph" w:customStyle="1" w:styleId="flowbox">
    <w:name w:val="flowbox"/>
    <w:basedOn w:val="a"/>
    <w:rsid w:val="00E10318"/>
    <w:pPr>
      <w:widowControl/>
      <w:pBdr>
        <w:top w:val="single" w:sz="6" w:space="8" w:color="CCCCCC"/>
        <w:left w:val="single" w:sz="6" w:space="8" w:color="CCCCCC"/>
        <w:bottom w:val="single" w:sz="6" w:space="8" w:color="CCCCCC"/>
        <w:right w:val="single" w:sz="6" w:space="8" w:color="CCCCCC"/>
      </w:pBdr>
      <w:spacing w:before="100" w:beforeAutospacing="1" w:after="100" w:afterAutospacing="1"/>
      <w:jc w:val="left"/>
    </w:pPr>
    <w:rPr>
      <w:rFonts w:ascii="宋体" w:eastAsia="宋体" w:hAnsi="宋体" w:cs="宋体"/>
      <w:kern w:val="0"/>
      <w:sz w:val="24"/>
      <w:szCs w:val="24"/>
    </w:rPr>
  </w:style>
  <w:style w:type="paragraph" w:customStyle="1" w:styleId="canshubox2">
    <w:name w:val="canshubox2"/>
    <w:basedOn w:val="a"/>
    <w:rsid w:val="00E10318"/>
    <w:pPr>
      <w:widowControl/>
      <w:spacing w:before="100" w:beforeAutospacing="1" w:after="225"/>
      <w:jc w:val="left"/>
    </w:pPr>
    <w:rPr>
      <w:rFonts w:ascii="宋体" w:eastAsia="宋体" w:hAnsi="宋体" w:cs="宋体"/>
      <w:kern w:val="0"/>
      <w:sz w:val="24"/>
      <w:szCs w:val="24"/>
    </w:rPr>
  </w:style>
  <w:style w:type="paragraph" w:customStyle="1" w:styleId="guide-content-left">
    <w:name w:val="guide-content-left"/>
    <w:basedOn w:val="a"/>
    <w:rsid w:val="00E10318"/>
    <w:pPr>
      <w:widowControl/>
      <w:pBdr>
        <w:top w:val="single" w:sz="24" w:space="8" w:color="auto"/>
        <w:left w:val="single" w:sz="24" w:space="8" w:color="auto"/>
        <w:bottom w:val="single" w:sz="24" w:space="8" w:color="auto"/>
        <w:right w:val="single" w:sz="6" w:space="8" w:color="CCCCCC"/>
      </w:pBdr>
      <w:spacing w:before="100" w:beforeAutospacing="1" w:after="100" w:afterAutospacing="1"/>
      <w:jc w:val="left"/>
    </w:pPr>
    <w:rPr>
      <w:rFonts w:ascii="宋体" w:eastAsia="宋体" w:hAnsi="宋体" w:cs="宋体"/>
      <w:kern w:val="0"/>
      <w:sz w:val="24"/>
      <w:szCs w:val="24"/>
    </w:rPr>
  </w:style>
  <w:style w:type="paragraph" w:customStyle="1" w:styleId="guide-content-right">
    <w:name w:val="guide-content-right"/>
    <w:basedOn w:val="a"/>
    <w:rsid w:val="00E10318"/>
    <w:pPr>
      <w:widowControl/>
      <w:spacing w:before="150" w:after="150"/>
      <w:jc w:val="left"/>
    </w:pPr>
    <w:rPr>
      <w:rFonts w:ascii="宋体" w:eastAsia="宋体" w:hAnsi="宋体" w:cs="宋体"/>
      <w:kern w:val="0"/>
      <w:sz w:val="24"/>
      <w:szCs w:val="24"/>
    </w:rPr>
  </w:style>
  <w:style w:type="paragraph" w:customStyle="1" w:styleId="yanshi">
    <w:name w:val="yanshi"/>
    <w:basedOn w:val="a"/>
    <w:rsid w:val="00E10318"/>
    <w:pPr>
      <w:widowControl/>
      <w:spacing w:after="330" w:line="270" w:lineRule="atLeast"/>
      <w:ind w:right="75"/>
      <w:jc w:val="right"/>
    </w:pPr>
    <w:rPr>
      <w:rFonts w:ascii="宋体" w:eastAsia="宋体" w:hAnsi="宋体" w:cs="宋体"/>
      <w:color w:val="3462B9"/>
      <w:kern w:val="0"/>
      <w:sz w:val="24"/>
      <w:szCs w:val="24"/>
    </w:rPr>
  </w:style>
  <w:style w:type="paragraph" w:customStyle="1" w:styleId="yanshibox">
    <w:name w:val="yanshibox"/>
    <w:basedOn w:val="a"/>
    <w:rsid w:val="00E10318"/>
    <w:pPr>
      <w:widowControl/>
      <w:pBdr>
        <w:bottom w:val="single" w:sz="12" w:space="8" w:color="CCCCCC"/>
      </w:pBdr>
      <w:spacing w:before="100" w:beforeAutospacing="1" w:after="75"/>
      <w:jc w:val="left"/>
    </w:pPr>
    <w:rPr>
      <w:rFonts w:ascii="宋体" w:eastAsia="宋体" w:hAnsi="宋体" w:cs="宋体"/>
      <w:kern w:val="0"/>
      <w:sz w:val="24"/>
      <w:szCs w:val="24"/>
    </w:rPr>
  </w:style>
  <w:style w:type="paragraph" w:customStyle="1" w:styleId="internews">
    <w:name w:val="internews"/>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sjtable">
    <w:name w:val="sjtable"/>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shujutable">
    <w:name w:val="shujutable"/>
    <w:basedOn w:val="a"/>
    <w:rsid w:val="00E10318"/>
    <w:pPr>
      <w:widowControl/>
      <w:pBdr>
        <w:top w:val="single" w:sz="6" w:space="0" w:color="CFCFCF"/>
        <w:left w:val="single" w:sz="6" w:space="0" w:color="CFCFCF"/>
        <w:bottom w:val="single" w:sz="6" w:space="0" w:color="CFCFCF"/>
        <w:right w:val="single" w:sz="6" w:space="0" w:color="CFCFCF"/>
      </w:pBdr>
      <w:spacing w:before="100" w:beforeAutospacing="1" w:after="100" w:afterAutospacing="1"/>
      <w:jc w:val="left"/>
    </w:pPr>
    <w:rPr>
      <w:rFonts w:ascii="微软雅黑" w:eastAsia="微软雅黑" w:hAnsi="微软雅黑" w:cs="宋体"/>
      <w:kern w:val="0"/>
      <w:sz w:val="24"/>
      <w:szCs w:val="24"/>
    </w:rPr>
  </w:style>
  <w:style w:type="paragraph" w:customStyle="1" w:styleId="listshuju">
    <w:name w:val="listshuju"/>
    <w:basedOn w:val="a"/>
    <w:rsid w:val="00E10318"/>
    <w:pPr>
      <w:widowControl/>
      <w:pBdr>
        <w:top w:val="single" w:sz="6" w:space="0" w:color="FFFFFF"/>
        <w:left w:val="single" w:sz="6" w:space="0" w:color="FFFFFF"/>
        <w:bottom w:val="single" w:sz="6" w:space="0" w:color="FFFFFF"/>
        <w:right w:val="single" w:sz="6" w:space="0" w:color="FFFFFF"/>
      </w:pBdr>
      <w:spacing w:before="100" w:beforeAutospacing="1" w:after="100" w:afterAutospacing="1"/>
      <w:jc w:val="left"/>
    </w:pPr>
    <w:rPr>
      <w:rFonts w:ascii="Arial" w:eastAsia="宋体" w:hAnsi="Arial" w:cs="Arial"/>
      <w:kern w:val="0"/>
      <w:sz w:val="24"/>
      <w:szCs w:val="24"/>
    </w:rPr>
  </w:style>
  <w:style w:type="paragraph" w:customStyle="1" w:styleId="conncentd">
    <w:name w:val="conncent_d"/>
    <w:basedOn w:val="a"/>
    <w:rsid w:val="00E10318"/>
    <w:pPr>
      <w:widowControl/>
      <w:spacing w:before="75" w:after="100" w:afterAutospacing="1"/>
      <w:jc w:val="left"/>
    </w:pPr>
    <w:rPr>
      <w:rFonts w:ascii="宋体" w:eastAsia="宋体" w:hAnsi="宋体" w:cs="宋体"/>
      <w:kern w:val="0"/>
      <w:sz w:val="24"/>
      <w:szCs w:val="24"/>
    </w:rPr>
  </w:style>
  <w:style w:type="paragraph" w:customStyle="1" w:styleId="dh">
    <w:name w:val="dh"/>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hd">
    <w:name w:val="hd"/>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hd2">
    <w:name w:val="hd2"/>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huihd">
    <w:name w:val="hui_hd"/>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heyuebig">
    <w:name w:val="heyue_big"/>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heyue2">
    <w:name w:val="heyue_2"/>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heyue22">
    <w:name w:val="heyue_22"/>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heyue21">
    <w:name w:val="heyue_21"/>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icon">
    <w:name w:val="icon"/>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title">
    <w:name w:val="title"/>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more">
    <w:name w:val="more"/>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hdnews">
    <w:name w:val="hdnews"/>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t1">
    <w:name w:val="t1"/>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t2">
    <w:name w:val="t2"/>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t3">
    <w:name w:val="t3"/>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t4">
    <w:name w:val="t4"/>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t5">
    <w:name w:val="t5"/>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bk">
    <w:name w:val="bk"/>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text">
    <w:name w:val="text"/>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banner">
    <w:name w:val="banner"/>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nav">
    <w:name w:val="nav"/>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footnav">
    <w:name w:val="footnav"/>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logo">
    <w:name w:val="logo"/>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searchbox">
    <w:name w:val="searchbox"/>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english">
    <w:name w:val="english"/>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formbox">
    <w:name w:val="formbox"/>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dh1">
    <w:name w:val="dh1"/>
    <w:basedOn w:val="a"/>
    <w:rsid w:val="00E10318"/>
    <w:pPr>
      <w:widowControl/>
      <w:spacing w:before="100" w:beforeAutospacing="1" w:after="100" w:afterAutospacing="1" w:line="480" w:lineRule="atLeast"/>
      <w:jc w:val="left"/>
    </w:pPr>
    <w:rPr>
      <w:rFonts w:ascii="宋体" w:eastAsia="宋体" w:hAnsi="宋体" w:cs="宋体"/>
      <w:color w:val="FFFFFF"/>
      <w:kern w:val="0"/>
      <w:szCs w:val="21"/>
    </w:rPr>
  </w:style>
  <w:style w:type="paragraph" w:customStyle="1" w:styleId="banner1">
    <w:name w:val="banner1"/>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logo1">
    <w:name w:val="logo1"/>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searchbox1">
    <w:name w:val="searchbox1"/>
    <w:basedOn w:val="a"/>
    <w:rsid w:val="00E10318"/>
    <w:pPr>
      <w:widowControl/>
      <w:spacing w:before="100" w:beforeAutospacing="1" w:after="100" w:afterAutospacing="1"/>
      <w:ind w:right="75"/>
      <w:jc w:val="left"/>
    </w:pPr>
    <w:rPr>
      <w:rFonts w:ascii="宋体" w:eastAsia="宋体" w:hAnsi="宋体" w:cs="宋体"/>
      <w:kern w:val="0"/>
      <w:sz w:val="24"/>
      <w:szCs w:val="24"/>
    </w:rPr>
  </w:style>
  <w:style w:type="paragraph" w:customStyle="1" w:styleId="english1">
    <w:name w:val="english1"/>
    <w:basedOn w:val="a"/>
    <w:rsid w:val="00E10318"/>
    <w:pPr>
      <w:widowControl/>
      <w:spacing w:before="75" w:after="75"/>
      <w:jc w:val="left"/>
    </w:pPr>
    <w:rPr>
      <w:rFonts w:ascii="宋体" w:eastAsia="宋体" w:hAnsi="宋体" w:cs="宋体"/>
      <w:kern w:val="0"/>
      <w:sz w:val="24"/>
      <w:szCs w:val="24"/>
    </w:rPr>
  </w:style>
  <w:style w:type="paragraph" w:customStyle="1" w:styleId="formbox1">
    <w:name w:val="formbox1"/>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nav1">
    <w:name w:val="nav1"/>
    <w:basedOn w:val="a"/>
    <w:rsid w:val="00E10318"/>
    <w:pPr>
      <w:widowControl/>
      <w:pBdr>
        <w:bottom w:val="single" w:sz="6" w:space="0" w:color="FFFFFF"/>
      </w:pBdr>
      <w:spacing w:before="100" w:beforeAutospacing="1" w:after="100" w:afterAutospacing="1"/>
      <w:jc w:val="left"/>
    </w:pPr>
    <w:rPr>
      <w:rFonts w:ascii="宋体" w:eastAsia="宋体" w:hAnsi="宋体" w:cs="宋体"/>
      <w:kern w:val="0"/>
      <w:sz w:val="24"/>
      <w:szCs w:val="24"/>
    </w:rPr>
  </w:style>
  <w:style w:type="paragraph" w:customStyle="1" w:styleId="footnav1">
    <w:name w:val="footnav1"/>
    <w:basedOn w:val="a"/>
    <w:rsid w:val="00E10318"/>
    <w:pPr>
      <w:widowControl/>
      <w:spacing w:before="225" w:after="100" w:afterAutospacing="1"/>
      <w:jc w:val="left"/>
    </w:pPr>
    <w:rPr>
      <w:rFonts w:ascii="宋体" w:eastAsia="宋体" w:hAnsi="宋体" w:cs="宋体"/>
      <w:kern w:val="0"/>
      <w:sz w:val="24"/>
      <w:szCs w:val="24"/>
    </w:rPr>
  </w:style>
  <w:style w:type="paragraph" w:customStyle="1" w:styleId="hd1">
    <w:name w:val="hd1"/>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hd21">
    <w:name w:val="hd21"/>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huihd1">
    <w:name w:val="hui_hd1"/>
    <w:basedOn w:val="a"/>
    <w:rsid w:val="00E10318"/>
    <w:pPr>
      <w:widowControl/>
      <w:pBdr>
        <w:bottom w:val="single" w:sz="6" w:space="0" w:color="CFCFCF"/>
      </w:pBdr>
      <w:spacing w:before="100" w:beforeAutospacing="1" w:after="100" w:afterAutospacing="1"/>
      <w:jc w:val="left"/>
    </w:pPr>
    <w:rPr>
      <w:rFonts w:ascii="宋体" w:eastAsia="宋体" w:hAnsi="宋体" w:cs="宋体"/>
      <w:kern w:val="0"/>
      <w:sz w:val="24"/>
      <w:szCs w:val="24"/>
    </w:rPr>
  </w:style>
  <w:style w:type="paragraph" w:customStyle="1" w:styleId="heyuebig1">
    <w:name w:val="heyue_big1"/>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heyue23">
    <w:name w:val="heyue_23"/>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text1">
    <w:name w:val="text1"/>
    <w:basedOn w:val="a"/>
    <w:rsid w:val="00E10318"/>
    <w:pPr>
      <w:widowControl/>
      <w:spacing w:before="100" w:beforeAutospacing="1" w:after="100" w:afterAutospacing="1" w:line="240" w:lineRule="atLeast"/>
      <w:jc w:val="left"/>
    </w:pPr>
    <w:rPr>
      <w:rFonts w:ascii="微软雅黑" w:eastAsia="微软雅黑" w:hAnsi="微软雅黑" w:cs="宋体"/>
      <w:kern w:val="0"/>
      <w:sz w:val="24"/>
      <w:szCs w:val="24"/>
    </w:rPr>
  </w:style>
  <w:style w:type="paragraph" w:customStyle="1" w:styleId="heyue221">
    <w:name w:val="heyue_221"/>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text2">
    <w:name w:val="text2"/>
    <w:basedOn w:val="a"/>
    <w:rsid w:val="00E10318"/>
    <w:pPr>
      <w:widowControl/>
      <w:spacing w:before="100" w:beforeAutospacing="1" w:after="100" w:afterAutospacing="1" w:line="240" w:lineRule="atLeast"/>
      <w:jc w:val="left"/>
    </w:pPr>
    <w:rPr>
      <w:rFonts w:ascii="微软雅黑" w:eastAsia="微软雅黑" w:hAnsi="微软雅黑" w:cs="宋体"/>
      <w:kern w:val="0"/>
      <w:sz w:val="24"/>
      <w:szCs w:val="24"/>
    </w:rPr>
  </w:style>
  <w:style w:type="paragraph" w:customStyle="1" w:styleId="heyue211">
    <w:name w:val="heyue_211"/>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text3">
    <w:name w:val="text3"/>
    <w:basedOn w:val="a"/>
    <w:rsid w:val="00E10318"/>
    <w:pPr>
      <w:widowControl/>
      <w:spacing w:before="100" w:beforeAutospacing="1" w:after="100" w:afterAutospacing="1" w:line="240" w:lineRule="atLeast"/>
      <w:jc w:val="left"/>
    </w:pPr>
    <w:rPr>
      <w:rFonts w:ascii="微软雅黑" w:eastAsia="微软雅黑" w:hAnsi="微软雅黑" w:cs="宋体"/>
      <w:kern w:val="0"/>
      <w:sz w:val="24"/>
      <w:szCs w:val="24"/>
    </w:rPr>
  </w:style>
  <w:style w:type="paragraph" w:customStyle="1" w:styleId="icon1">
    <w:name w:val="icon1"/>
    <w:basedOn w:val="a"/>
    <w:rsid w:val="00E10318"/>
    <w:pPr>
      <w:widowControl/>
      <w:spacing w:before="100" w:beforeAutospacing="1" w:after="100" w:afterAutospacing="1"/>
      <w:jc w:val="left"/>
    </w:pPr>
    <w:rPr>
      <w:rFonts w:ascii="宋体" w:eastAsia="宋体" w:hAnsi="宋体" w:cs="宋体"/>
      <w:kern w:val="0"/>
      <w:sz w:val="24"/>
      <w:szCs w:val="24"/>
    </w:rPr>
  </w:style>
  <w:style w:type="paragraph" w:customStyle="1" w:styleId="title1">
    <w:name w:val="title1"/>
    <w:basedOn w:val="a"/>
    <w:rsid w:val="00E10318"/>
    <w:pPr>
      <w:widowControl/>
      <w:spacing w:before="100" w:beforeAutospacing="1" w:after="100" w:afterAutospacing="1" w:line="510" w:lineRule="atLeast"/>
      <w:jc w:val="left"/>
    </w:pPr>
    <w:rPr>
      <w:rFonts w:ascii="宋体" w:eastAsia="宋体" w:hAnsi="宋体" w:cs="宋体"/>
      <w:color w:val="3462B9"/>
      <w:kern w:val="0"/>
      <w:sz w:val="23"/>
      <w:szCs w:val="23"/>
    </w:rPr>
  </w:style>
  <w:style w:type="paragraph" w:customStyle="1" w:styleId="more1">
    <w:name w:val="more1"/>
    <w:basedOn w:val="a"/>
    <w:rsid w:val="00E10318"/>
    <w:pPr>
      <w:widowControl/>
      <w:spacing w:before="100" w:beforeAutospacing="1" w:after="100" w:afterAutospacing="1" w:line="510" w:lineRule="atLeast"/>
      <w:jc w:val="left"/>
    </w:pPr>
    <w:rPr>
      <w:rFonts w:ascii="宋体" w:eastAsia="宋体" w:hAnsi="宋体" w:cs="宋体"/>
      <w:kern w:val="0"/>
      <w:sz w:val="24"/>
      <w:szCs w:val="24"/>
    </w:rPr>
  </w:style>
  <w:style w:type="paragraph" w:customStyle="1" w:styleId="title2">
    <w:name w:val="title2"/>
    <w:basedOn w:val="a"/>
    <w:rsid w:val="00E10318"/>
    <w:pPr>
      <w:widowControl/>
      <w:spacing w:before="100" w:beforeAutospacing="1" w:after="100" w:afterAutospacing="1" w:line="510" w:lineRule="atLeast"/>
      <w:jc w:val="left"/>
    </w:pPr>
    <w:rPr>
      <w:rFonts w:ascii="宋体" w:eastAsia="宋体" w:hAnsi="宋体" w:cs="宋体"/>
      <w:color w:val="3462B9"/>
      <w:kern w:val="0"/>
      <w:sz w:val="23"/>
      <w:szCs w:val="23"/>
    </w:rPr>
  </w:style>
  <w:style w:type="paragraph" w:customStyle="1" w:styleId="more2">
    <w:name w:val="more2"/>
    <w:basedOn w:val="a"/>
    <w:rsid w:val="00E10318"/>
    <w:pPr>
      <w:widowControl/>
      <w:spacing w:before="100" w:beforeAutospacing="1" w:after="100" w:afterAutospacing="1" w:line="1875" w:lineRule="atLeast"/>
      <w:jc w:val="left"/>
    </w:pPr>
    <w:rPr>
      <w:rFonts w:ascii="宋体" w:eastAsia="宋体" w:hAnsi="宋体" w:cs="宋体"/>
      <w:kern w:val="0"/>
      <w:sz w:val="24"/>
      <w:szCs w:val="24"/>
    </w:rPr>
  </w:style>
  <w:style w:type="paragraph" w:customStyle="1" w:styleId="hdnews1">
    <w:name w:val="hdnews1"/>
    <w:basedOn w:val="a"/>
    <w:rsid w:val="00E10318"/>
    <w:pPr>
      <w:widowControl/>
      <w:pBdr>
        <w:bottom w:val="single" w:sz="12" w:space="0" w:color="3462B9"/>
      </w:pBdr>
      <w:spacing w:before="100" w:beforeAutospacing="1" w:after="100" w:afterAutospacing="1" w:line="675" w:lineRule="atLeast"/>
      <w:jc w:val="left"/>
    </w:pPr>
    <w:rPr>
      <w:rFonts w:ascii="宋体" w:eastAsia="宋体" w:hAnsi="宋体" w:cs="宋体"/>
      <w:kern w:val="0"/>
      <w:sz w:val="24"/>
      <w:szCs w:val="24"/>
    </w:rPr>
  </w:style>
  <w:style w:type="paragraph" w:customStyle="1" w:styleId="more3">
    <w:name w:val="more3"/>
    <w:basedOn w:val="a"/>
    <w:rsid w:val="00E10318"/>
    <w:pPr>
      <w:widowControl/>
      <w:spacing w:before="165" w:after="100" w:afterAutospacing="1" w:line="510" w:lineRule="atLeast"/>
      <w:jc w:val="left"/>
    </w:pPr>
    <w:rPr>
      <w:rFonts w:ascii="宋体" w:eastAsia="宋体" w:hAnsi="宋体" w:cs="宋体"/>
      <w:kern w:val="0"/>
      <w:sz w:val="18"/>
      <w:szCs w:val="18"/>
    </w:rPr>
  </w:style>
  <w:style w:type="paragraph" w:customStyle="1" w:styleId="t11">
    <w:name w:val="t11"/>
    <w:basedOn w:val="a"/>
    <w:rsid w:val="00E10318"/>
    <w:pPr>
      <w:widowControl/>
      <w:pBdr>
        <w:right w:val="single" w:sz="6" w:space="0" w:color="CFCFCF"/>
      </w:pBdr>
      <w:shd w:val="clear" w:color="auto" w:fill="D8EBF1"/>
      <w:spacing w:before="100" w:beforeAutospacing="1" w:after="100" w:afterAutospacing="1"/>
      <w:jc w:val="left"/>
    </w:pPr>
    <w:rPr>
      <w:rFonts w:ascii="宋体" w:eastAsia="宋体" w:hAnsi="宋体" w:cs="宋体"/>
      <w:b/>
      <w:bCs/>
      <w:kern w:val="0"/>
      <w:sz w:val="23"/>
      <w:szCs w:val="23"/>
    </w:rPr>
  </w:style>
  <w:style w:type="paragraph" w:customStyle="1" w:styleId="t21">
    <w:name w:val="t21"/>
    <w:basedOn w:val="a"/>
    <w:rsid w:val="00E10318"/>
    <w:pPr>
      <w:widowControl/>
      <w:pBdr>
        <w:bottom w:val="single" w:sz="6" w:space="0" w:color="CFCFCF"/>
        <w:right w:val="single" w:sz="6" w:space="0" w:color="CFCFCF"/>
      </w:pBdr>
      <w:shd w:val="clear" w:color="auto" w:fill="E9A096"/>
      <w:spacing w:before="100" w:beforeAutospacing="1" w:after="100" w:afterAutospacing="1"/>
      <w:jc w:val="left"/>
    </w:pPr>
    <w:rPr>
      <w:rFonts w:ascii="宋体" w:eastAsia="宋体" w:hAnsi="宋体" w:cs="宋体"/>
      <w:b/>
      <w:bCs/>
      <w:color w:val="FFFFFF"/>
      <w:kern w:val="0"/>
      <w:sz w:val="23"/>
      <w:szCs w:val="23"/>
    </w:rPr>
  </w:style>
  <w:style w:type="paragraph" w:customStyle="1" w:styleId="t31">
    <w:name w:val="t31"/>
    <w:basedOn w:val="a"/>
    <w:rsid w:val="00E10318"/>
    <w:pPr>
      <w:widowControl/>
      <w:pBdr>
        <w:right w:val="single" w:sz="6" w:space="0" w:color="CFCFCF"/>
      </w:pBdr>
      <w:spacing w:before="100" w:beforeAutospacing="1" w:after="100" w:afterAutospacing="1"/>
      <w:jc w:val="left"/>
    </w:pPr>
    <w:rPr>
      <w:rFonts w:ascii="宋体" w:eastAsia="宋体" w:hAnsi="宋体" w:cs="宋体"/>
      <w:kern w:val="0"/>
      <w:sz w:val="18"/>
      <w:szCs w:val="18"/>
    </w:rPr>
  </w:style>
  <w:style w:type="paragraph" w:customStyle="1" w:styleId="t41">
    <w:name w:val="t41"/>
    <w:basedOn w:val="a"/>
    <w:rsid w:val="00E10318"/>
    <w:pPr>
      <w:widowControl/>
      <w:pBdr>
        <w:bottom w:val="single" w:sz="6" w:space="0" w:color="CFCFCF"/>
        <w:right w:val="single" w:sz="6" w:space="0" w:color="CFCFCF"/>
      </w:pBdr>
      <w:shd w:val="clear" w:color="auto" w:fill="75B9E9"/>
      <w:spacing w:before="100" w:beforeAutospacing="1" w:after="100" w:afterAutospacing="1"/>
      <w:jc w:val="left"/>
    </w:pPr>
    <w:rPr>
      <w:rFonts w:ascii="宋体" w:eastAsia="宋体" w:hAnsi="宋体" w:cs="宋体"/>
      <w:b/>
      <w:bCs/>
      <w:color w:val="FFFFFF"/>
      <w:kern w:val="0"/>
      <w:sz w:val="23"/>
      <w:szCs w:val="23"/>
    </w:rPr>
  </w:style>
  <w:style w:type="paragraph" w:customStyle="1" w:styleId="t51">
    <w:name w:val="t51"/>
    <w:basedOn w:val="a"/>
    <w:rsid w:val="00E10318"/>
    <w:pPr>
      <w:widowControl/>
      <w:pBdr>
        <w:bottom w:val="single" w:sz="6" w:space="0" w:color="CFCFCF"/>
      </w:pBdr>
      <w:shd w:val="clear" w:color="auto" w:fill="E9BF75"/>
      <w:spacing w:before="100" w:beforeAutospacing="1" w:after="100" w:afterAutospacing="1"/>
      <w:jc w:val="left"/>
    </w:pPr>
    <w:rPr>
      <w:rFonts w:ascii="宋体" w:eastAsia="宋体" w:hAnsi="宋体" w:cs="宋体"/>
      <w:b/>
      <w:bCs/>
      <w:color w:val="FFFFFF"/>
      <w:kern w:val="0"/>
      <w:sz w:val="23"/>
      <w:szCs w:val="23"/>
    </w:rPr>
  </w:style>
  <w:style w:type="paragraph" w:customStyle="1" w:styleId="bk1">
    <w:name w:val="bk1"/>
    <w:basedOn w:val="a"/>
    <w:rsid w:val="00E10318"/>
    <w:pPr>
      <w:widowControl/>
      <w:shd w:val="clear" w:color="auto" w:fill="EEEEEE"/>
      <w:spacing w:before="100" w:beforeAutospacing="1" w:after="100" w:afterAutospacing="1"/>
      <w:jc w:val="left"/>
    </w:pPr>
    <w:rPr>
      <w:rFonts w:ascii="宋体" w:eastAsia="宋体" w:hAnsi="宋体" w:cs="宋体"/>
      <w:kern w:val="0"/>
      <w:sz w:val="24"/>
      <w:szCs w:val="24"/>
    </w:rPr>
  </w:style>
  <w:style w:type="paragraph" w:customStyle="1" w:styleId="article-date">
    <w:name w:val="article-date"/>
    <w:basedOn w:val="a"/>
    <w:rsid w:val="00E10318"/>
    <w:pPr>
      <w:widowControl/>
      <w:spacing w:before="100" w:beforeAutospacing="1" w:after="100" w:afterAutospacing="1"/>
      <w:jc w:val="left"/>
    </w:pPr>
    <w:rPr>
      <w:rFonts w:ascii="宋体" w:eastAsia="宋体" w:hAnsi="宋体" w:cs="宋体"/>
      <w:kern w:val="0"/>
      <w:sz w:val="24"/>
      <w:szCs w:val="24"/>
    </w:rPr>
  </w:style>
  <w:style w:type="paragraph" w:styleId="a7">
    <w:name w:val="Normal (Web)"/>
    <w:basedOn w:val="a"/>
    <w:uiPriority w:val="99"/>
    <w:semiHidden/>
    <w:unhideWhenUsed/>
    <w:rsid w:val="00E10318"/>
    <w:pPr>
      <w:widowControl/>
      <w:spacing w:before="100" w:beforeAutospacing="1" w:after="100" w:afterAutospacing="1"/>
      <w:jc w:val="left"/>
    </w:pPr>
    <w:rPr>
      <w:rFonts w:ascii="宋体" w:eastAsia="宋体" w:hAnsi="宋体" w:cs="宋体"/>
      <w:kern w:val="0"/>
      <w:sz w:val="24"/>
      <w:szCs w:val="24"/>
    </w:rPr>
  </w:style>
  <w:style w:type="paragraph" w:styleId="a8">
    <w:name w:val="Body Text"/>
    <w:basedOn w:val="a"/>
    <w:link w:val="Char1"/>
    <w:uiPriority w:val="99"/>
    <w:semiHidden/>
    <w:unhideWhenUsed/>
    <w:rsid w:val="00E10318"/>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8"/>
    <w:uiPriority w:val="99"/>
    <w:semiHidden/>
    <w:rsid w:val="00E10318"/>
    <w:rPr>
      <w:rFonts w:ascii="宋体" w:eastAsia="宋体" w:hAnsi="宋体" w:cs="宋体"/>
      <w:kern w:val="0"/>
      <w:sz w:val="24"/>
      <w:szCs w:val="24"/>
    </w:rPr>
  </w:style>
  <w:style w:type="paragraph" w:styleId="a9">
    <w:name w:val="Balloon Text"/>
    <w:basedOn w:val="a"/>
    <w:link w:val="Char2"/>
    <w:uiPriority w:val="99"/>
    <w:semiHidden/>
    <w:unhideWhenUsed/>
    <w:rsid w:val="00E10318"/>
    <w:rPr>
      <w:sz w:val="18"/>
      <w:szCs w:val="18"/>
    </w:rPr>
  </w:style>
  <w:style w:type="character" w:customStyle="1" w:styleId="Char2">
    <w:name w:val="批注框文本 Char"/>
    <w:basedOn w:val="a0"/>
    <w:link w:val="a9"/>
    <w:uiPriority w:val="99"/>
    <w:semiHidden/>
    <w:rsid w:val="00E10318"/>
    <w:rPr>
      <w:sz w:val="18"/>
      <w:szCs w:val="18"/>
    </w:rPr>
  </w:style>
</w:styles>
</file>

<file path=word/webSettings.xml><?xml version="1.0" encoding="utf-8"?>
<w:webSettings xmlns:r="http://schemas.openxmlformats.org/officeDocument/2006/relationships" xmlns:w="http://schemas.openxmlformats.org/wordprocessingml/2006/main">
  <w:divs>
    <w:div w:id="624432290">
      <w:bodyDiv w:val="1"/>
      <w:marLeft w:val="0"/>
      <w:marRight w:val="0"/>
      <w:marTop w:val="0"/>
      <w:marBottom w:val="0"/>
      <w:divBdr>
        <w:top w:val="none" w:sz="0" w:space="0" w:color="auto"/>
        <w:left w:val="none" w:sz="0" w:space="0" w:color="auto"/>
        <w:bottom w:val="none" w:sz="0" w:space="0" w:color="auto"/>
        <w:right w:val="none" w:sz="0" w:space="0" w:color="auto"/>
      </w:divBdr>
      <w:divsChild>
        <w:div w:id="2092190302">
          <w:marLeft w:val="0"/>
          <w:marRight w:val="0"/>
          <w:marTop w:val="0"/>
          <w:marBottom w:val="0"/>
          <w:divBdr>
            <w:top w:val="none" w:sz="0" w:space="0" w:color="auto"/>
            <w:left w:val="none" w:sz="0" w:space="0" w:color="auto"/>
            <w:bottom w:val="none" w:sz="0" w:space="0" w:color="auto"/>
            <w:right w:val="none" w:sz="0" w:space="0" w:color="auto"/>
          </w:divBdr>
          <w:divsChild>
            <w:div w:id="740251050">
              <w:marLeft w:val="0"/>
              <w:marRight w:val="0"/>
              <w:marTop w:val="75"/>
              <w:marBottom w:val="0"/>
              <w:divBdr>
                <w:top w:val="none" w:sz="0" w:space="0" w:color="auto"/>
                <w:left w:val="none" w:sz="0" w:space="0" w:color="auto"/>
                <w:bottom w:val="none" w:sz="0" w:space="0" w:color="auto"/>
                <w:right w:val="none" w:sz="0" w:space="0" w:color="auto"/>
              </w:divBdr>
              <w:divsChild>
                <w:div w:id="607926337">
                  <w:marLeft w:val="0"/>
                  <w:marRight w:val="0"/>
                  <w:marTop w:val="0"/>
                  <w:marBottom w:val="0"/>
                  <w:divBdr>
                    <w:top w:val="none" w:sz="0" w:space="0" w:color="auto"/>
                    <w:left w:val="none" w:sz="0" w:space="0" w:color="auto"/>
                    <w:bottom w:val="none" w:sz="0" w:space="0" w:color="auto"/>
                    <w:right w:val="none" w:sz="0" w:space="0" w:color="auto"/>
                  </w:divBdr>
                  <w:divsChild>
                    <w:div w:id="1663191733">
                      <w:marLeft w:val="0"/>
                      <w:marRight w:val="0"/>
                      <w:marTop w:val="0"/>
                      <w:marBottom w:val="0"/>
                      <w:divBdr>
                        <w:top w:val="none" w:sz="0" w:space="0" w:color="auto"/>
                        <w:left w:val="none" w:sz="0" w:space="0" w:color="auto"/>
                        <w:bottom w:val="none" w:sz="0" w:space="0" w:color="auto"/>
                        <w:right w:val="none" w:sz="0" w:space="0" w:color="auto"/>
                      </w:divBdr>
                      <w:divsChild>
                        <w:div w:id="1106540877">
                          <w:marLeft w:val="0"/>
                          <w:marRight w:val="0"/>
                          <w:marTop w:val="0"/>
                          <w:marBottom w:val="0"/>
                          <w:divBdr>
                            <w:top w:val="none" w:sz="0" w:space="0" w:color="auto"/>
                            <w:left w:val="none" w:sz="0" w:space="0" w:color="auto"/>
                            <w:bottom w:val="none" w:sz="0" w:space="0" w:color="auto"/>
                            <w:right w:val="none" w:sz="0" w:space="0" w:color="auto"/>
                          </w:divBdr>
                        </w:div>
                        <w:div w:id="443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73</Pages>
  <Words>5245</Words>
  <Characters>29900</Characters>
  <Application>Microsoft Office Word</Application>
  <DocSecurity>0</DocSecurity>
  <Lines>249</Lines>
  <Paragraphs>70</Paragraphs>
  <ScaleCrop>false</ScaleCrop>
  <Company>Microsoft</Company>
  <LinksUpToDate>false</LinksUpToDate>
  <CharactersWithSpaces>35075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陈明强</dc:creator>
  <cp:keywords/>
  <dc:description/>
  <cp:lastModifiedBy>陈明强</cp:lastModifiedBy>
  <cp:revision>4</cp:revision>
  <dcterms:created xsi:type="dcterms:W3CDTF">2016-12-13T07:54:00Z</dcterms:created>
  <dcterms:modified xsi:type="dcterms:W3CDTF">2016-12-13T08:01:00Z</dcterms:modified>
</cp:coreProperties>
</file>